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b w:val="0"/>
          <w:bCs w:val="0"/>
          <w:color w:val="auto"/>
          <w:sz w:val="44"/>
          <w:szCs w:val="44"/>
        </w:rPr>
      </w:pPr>
      <w:bookmarkStart w:id="0" w:name="_GoBack"/>
      <w:bookmarkEnd w:id="0"/>
      <w:r>
        <w:rPr>
          <w:rFonts w:hint="eastAsia" w:ascii="方正小标宋简体" w:hAnsi="方正小标宋简体" w:eastAsia="方正小标宋简体" w:cs="方正小标宋简体"/>
          <w:b w:val="0"/>
          <w:bCs w:val="0"/>
          <w:color w:val="auto"/>
          <w:sz w:val="44"/>
          <w:szCs w:val="44"/>
          <w:lang w:eastAsia="zh-CN"/>
        </w:rPr>
        <w:t>伊春</w:t>
      </w:r>
      <w:r>
        <w:rPr>
          <w:rFonts w:hint="eastAsia" w:ascii="方正小标宋简体" w:hAnsi="方正小标宋简体" w:eastAsia="方正小标宋简体" w:cs="方正小标宋简体"/>
          <w:b w:val="0"/>
          <w:bCs w:val="0"/>
          <w:color w:val="auto"/>
          <w:sz w:val="44"/>
          <w:szCs w:val="44"/>
        </w:rPr>
        <w:t>市</w:t>
      </w:r>
      <w:r>
        <w:rPr>
          <w:rFonts w:hint="eastAsia" w:ascii="方正小标宋简体" w:hAnsi="方正小标宋简体" w:eastAsia="方正小标宋简体" w:cs="方正小标宋简体"/>
          <w:b w:val="0"/>
          <w:bCs w:val="0"/>
          <w:color w:val="auto"/>
          <w:sz w:val="44"/>
          <w:szCs w:val="44"/>
          <w:lang w:val="en-US" w:eastAsia="zh-CN"/>
        </w:rPr>
        <w:t>2023年</w:t>
      </w:r>
      <w:r>
        <w:rPr>
          <w:rFonts w:hint="eastAsia" w:ascii="方正小标宋简体" w:hAnsi="方正小标宋简体" w:eastAsia="方正小标宋简体" w:cs="方正小标宋简体"/>
          <w:b w:val="0"/>
          <w:bCs w:val="0"/>
          <w:color w:val="auto"/>
          <w:sz w:val="44"/>
          <w:szCs w:val="44"/>
        </w:rPr>
        <w:t>农产品供应链</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体系建设工作实施方案</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仿宋_GB2312" w:hAnsi="仿宋_GB2312" w:eastAsia="仿宋_GB2312" w:cs="仿宋_GB2312"/>
          <w:b w:val="0"/>
          <w:bCs w:val="0"/>
          <w:i w:val="0"/>
          <w:iCs w:val="0"/>
          <w:caps w:val="0"/>
          <w:color w:val="auto"/>
          <w:spacing w:val="0"/>
          <w:sz w:val="44"/>
          <w:szCs w:val="44"/>
          <w:shd w:val="clear" w:fill="FFFFFF"/>
        </w:rPr>
      </w:pPr>
      <w:r>
        <w:rPr>
          <w:rFonts w:hint="eastAsia" w:ascii="楷体_GB2312" w:hAnsi="楷体_GB2312" w:eastAsia="楷体_GB2312" w:cs="楷体_GB2312"/>
          <w:b w:val="0"/>
          <w:bCs w:val="0"/>
          <w:i w:val="0"/>
          <w:iCs w:val="0"/>
          <w:caps w:val="0"/>
          <w:color w:val="auto"/>
          <w:spacing w:val="0"/>
          <w:sz w:val="44"/>
          <w:szCs w:val="44"/>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为进一步贯彻落实《财政部办公厅 商务部办公厅关于支持加快农产品供应链体系建设进一步促进冷链物流发展的通知》（财办建〔2022〕36号）精神，根据</w:t>
      </w:r>
      <w:r>
        <w:rPr>
          <w:rFonts w:hint="eastAsia" w:ascii="仿宋_GB2312" w:hAnsi="仿宋_GB2312" w:eastAsia="仿宋_GB2312" w:cs="仿宋_GB2312"/>
          <w:b w:val="0"/>
          <w:bCs w:val="0"/>
          <w:color w:val="auto"/>
          <w:sz w:val="32"/>
          <w:szCs w:val="32"/>
        </w:rPr>
        <w:t>《关于继续支持加快农产品供应链体系建设进一步促进冷链物流发展的通知》（黑商联函〔202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11</w:t>
      </w:r>
      <w:r>
        <w:rPr>
          <w:rFonts w:hint="eastAsia" w:ascii="仿宋_GB2312" w:hAnsi="仿宋_GB2312" w:eastAsia="仿宋_GB2312" w:cs="仿宋_GB2312"/>
          <w:b w:val="0"/>
          <w:bCs w:val="0"/>
          <w:color w:val="auto"/>
          <w:sz w:val="32"/>
          <w:szCs w:val="32"/>
        </w:rPr>
        <w:t>号）要求，</w:t>
      </w:r>
      <w:r>
        <w:rPr>
          <w:rFonts w:hint="eastAsia" w:ascii="仿宋_GB2312" w:hAnsi="仿宋_GB2312" w:eastAsia="仿宋_GB2312" w:cs="仿宋_GB2312"/>
          <w:b w:val="0"/>
          <w:bCs w:val="0"/>
          <w:i w:val="0"/>
          <w:iCs w:val="0"/>
          <w:caps w:val="0"/>
          <w:color w:val="auto"/>
          <w:spacing w:val="0"/>
          <w:sz w:val="32"/>
          <w:szCs w:val="32"/>
          <w:shd w:val="clear" w:fill="FFFFFF"/>
        </w:rPr>
        <w:t>为加快推进我市农产品供应链体系建设，提升农产品流通效率，助力乡村振兴，促进消费升级，结合实际，制定本方案。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0"/>
          <w:kern w:val="21"/>
          <w:sz w:val="32"/>
          <w:szCs w:val="32"/>
          <w:u w:val="none"/>
        </w:rPr>
        <w:t>以习近平新时代中国特色社会主义思想为指导，全面贯彻党的二十大精神，认真落实党中央、国务院决策部署，</w:t>
      </w:r>
      <w:r>
        <w:rPr>
          <w:rFonts w:hint="eastAsia" w:ascii="仿宋_GB2312" w:hAnsi="仿宋_GB2312" w:eastAsia="仿宋_GB2312" w:cs="仿宋_GB2312"/>
          <w:b w:val="0"/>
          <w:bCs w:val="0"/>
          <w:color w:val="auto"/>
          <w:spacing w:val="0"/>
          <w:kern w:val="21"/>
          <w:sz w:val="32"/>
          <w:szCs w:val="32"/>
          <w:u w:val="none"/>
          <w:lang w:eastAsia="zh-CN"/>
        </w:rPr>
        <w:t>省委、省政府工作安排，</w:t>
      </w:r>
      <w:r>
        <w:rPr>
          <w:rFonts w:hint="eastAsia" w:ascii="仿宋_GB2312" w:hAnsi="仿宋_GB2312" w:eastAsia="仿宋_GB2312" w:cs="仿宋_GB2312"/>
          <w:b w:val="0"/>
          <w:bCs w:val="0"/>
          <w:color w:val="auto"/>
          <w:spacing w:val="0"/>
          <w:kern w:val="21"/>
          <w:sz w:val="32"/>
          <w:szCs w:val="32"/>
          <w:u w:val="none"/>
        </w:rPr>
        <w:t>立足新发展阶段，贯彻新发展理念，构建新发展格局，</w:t>
      </w:r>
      <w:r>
        <w:rPr>
          <w:rFonts w:hint="eastAsia" w:ascii="仿宋_GB2312" w:hAnsi="仿宋_GB2312" w:eastAsia="仿宋_GB2312" w:cs="仿宋_GB2312"/>
          <w:b w:val="0"/>
          <w:bCs w:val="0"/>
          <w:color w:val="auto"/>
          <w:sz w:val="32"/>
          <w:szCs w:val="32"/>
        </w:rPr>
        <w:t>按照“强节点、建链条、优网络”工作思路</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聚焦补齐冷链设施短板</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提高冷链物流质量效率</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建立健全畅通高效、贯通城乡、安全规范的农产品现代流通体系。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二、目标任务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在试点期限内探索政企协同管理模式，优化公共服务，营造良好环境，推动冷链产业高质量发展。充分发挥试点企业带动示范作用，稳步推动农产品供应链体系建设；支持试点企业开展标准化、智能化技术革新和绿色环保配送服务；加强组织引导，逐步完善政策、优化服务、加强监管，促进物流企业实现提质降本增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到</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年底，全市</w:t>
      </w:r>
      <w:r>
        <w:rPr>
          <w:rFonts w:hint="eastAsia" w:ascii="仿宋_GB2312" w:hAnsi="仿宋_GB2312" w:eastAsia="仿宋_GB2312" w:cs="仿宋_GB2312"/>
          <w:b w:val="0"/>
          <w:bCs w:val="0"/>
          <w:color w:val="auto"/>
          <w:sz w:val="32"/>
          <w:szCs w:val="32"/>
          <w:lang w:eastAsia="zh-CN"/>
        </w:rPr>
        <w:t>新增冷库</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个</w:t>
      </w:r>
      <w:r>
        <w:rPr>
          <w:rFonts w:hint="eastAsia" w:ascii="仿宋_GB2312" w:hAnsi="仿宋_GB2312" w:eastAsia="仿宋_GB2312" w:cs="仿宋_GB2312"/>
          <w:b w:val="0"/>
          <w:bCs w:val="0"/>
          <w:color w:val="auto"/>
          <w:sz w:val="32"/>
          <w:szCs w:val="32"/>
          <w:lang w:eastAsia="zh-CN"/>
        </w:rPr>
        <w:t>以上，新增</w:t>
      </w:r>
      <w:r>
        <w:rPr>
          <w:rFonts w:hint="eastAsia" w:ascii="仿宋_GB2312" w:hAnsi="仿宋_GB2312" w:eastAsia="仿宋_GB2312" w:cs="仿宋_GB2312"/>
          <w:b w:val="0"/>
          <w:bCs w:val="0"/>
          <w:color w:val="auto"/>
          <w:sz w:val="32"/>
          <w:szCs w:val="32"/>
        </w:rPr>
        <w:t>库容</w:t>
      </w:r>
      <w:r>
        <w:rPr>
          <w:rFonts w:hint="eastAsia" w:ascii="仿宋_GB2312" w:hAnsi="仿宋_GB2312" w:eastAsia="仿宋_GB2312" w:cs="仿宋_GB2312"/>
          <w:b w:val="0"/>
          <w:bCs w:val="0"/>
          <w:color w:val="auto"/>
          <w:sz w:val="32"/>
          <w:szCs w:val="32"/>
          <w:lang w:val="en-US" w:eastAsia="zh-CN"/>
        </w:rPr>
        <w:t>60000</w:t>
      </w:r>
      <w:r>
        <w:rPr>
          <w:rFonts w:hint="eastAsia" w:ascii="仿宋_GB2312" w:hAnsi="仿宋_GB2312" w:eastAsia="仿宋_GB2312" w:cs="仿宋_GB2312"/>
          <w:b w:val="0"/>
          <w:bCs w:val="0"/>
          <w:color w:val="auto"/>
          <w:sz w:val="32"/>
          <w:szCs w:val="32"/>
          <w:lang w:eastAsia="zh-CN"/>
        </w:rPr>
        <w:t>以上</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库容</w:t>
      </w:r>
      <w:r>
        <w:rPr>
          <w:rFonts w:hint="eastAsia" w:ascii="仿宋_GB2312" w:hAnsi="仿宋_GB2312" w:eastAsia="仿宋_GB2312" w:cs="仿宋_GB2312"/>
          <w:b w:val="0"/>
          <w:bCs w:val="0"/>
          <w:color w:val="auto"/>
          <w:sz w:val="32"/>
          <w:szCs w:val="32"/>
        </w:rPr>
        <w:t>增长6%以上</w:t>
      </w:r>
      <w:r>
        <w:rPr>
          <w:rFonts w:hint="eastAsia" w:ascii="仿宋_GB2312" w:hAnsi="仿宋_GB2312" w:eastAsia="仿宋_GB2312" w:cs="仿宋_GB2312"/>
          <w:b w:val="0"/>
          <w:bCs w:val="0"/>
          <w:color w:val="auto"/>
          <w:sz w:val="32"/>
          <w:szCs w:val="32"/>
          <w:lang w:eastAsia="zh-CN"/>
        </w:rPr>
        <w:t>，新增</w:t>
      </w:r>
      <w:r>
        <w:rPr>
          <w:rFonts w:hint="eastAsia" w:ascii="仿宋_GB2312" w:hAnsi="仿宋_GB2312" w:eastAsia="仿宋_GB2312" w:cs="仿宋_GB2312"/>
          <w:b w:val="0"/>
          <w:bCs w:val="0"/>
          <w:color w:val="auto"/>
          <w:sz w:val="32"/>
          <w:szCs w:val="32"/>
        </w:rPr>
        <w:t>冷藏车辆</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辆</w:t>
      </w:r>
      <w:r>
        <w:rPr>
          <w:rFonts w:hint="eastAsia" w:ascii="仿宋_GB2312" w:hAnsi="仿宋_GB2312" w:eastAsia="仿宋_GB2312" w:cs="仿宋_GB2312"/>
          <w:b w:val="0"/>
          <w:bCs w:val="0"/>
          <w:color w:val="auto"/>
          <w:sz w:val="32"/>
          <w:szCs w:val="32"/>
          <w:lang w:eastAsia="zh-CN"/>
        </w:rPr>
        <w:t>以上，农产品冷链流通率提高</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%以上，增强农产品流通主渠道冷链服务水平有所改善，消费者对农产品冷链流通的满意度大于85%</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三、重点工作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抓住集散地和销地两个关键节点，进一步聚焦发展农产品供应链物流，提高农产品流通效率和现代化水平。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rPr>
        <w:t>提高冷链物流重点干支线配送效率。</w:t>
      </w:r>
      <w:r>
        <w:rPr>
          <w:rFonts w:hint="eastAsia" w:ascii="仿宋_GB2312" w:hAnsi="仿宋_GB2312" w:eastAsia="仿宋_GB2312" w:cs="仿宋_GB2312"/>
          <w:b w:val="0"/>
          <w:bCs w:val="0"/>
          <w:color w:val="auto"/>
          <w:sz w:val="32"/>
          <w:szCs w:val="32"/>
        </w:rPr>
        <w:t>为提升我市营销服务质量，支持农产品流通企业新建冷链集配中心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低温配送中心</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农产品冷链物流园区</w:t>
      </w:r>
      <w:r>
        <w:rPr>
          <w:rFonts w:hint="eastAsia" w:ascii="仿宋_GB2312" w:hAnsi="仿宋_GB2312" w:eastAsia="仿宋_GB2312" w:cs="仿宋_GB2312"/>
          <w:b w:val="0"/>
          <w:bCs w:val="0"/>
          <w:color w:val="auto"/>
          <w:sz w:val="32"/>
          <w:szCs w:val="32"/>
          <w:lang w:val="en-US" w:eastAsia="zh-CN"/>
        </w:rPr>
        <w:t>和</w:t>
      </w:r>
      <w:r>
        <w:rPr>
          <w:rFonts w:hint="eastAsia" w:ascii="仿宋_GB2312" w:hAnsi="仿宋_GB2312" w:eastAsia="仿宋_GB2312" w:cs="仿宋_GB2312"/>
          <w:b w:val="0"/>
          <w:bCs w:val="0"/>
          <w:color w:val="auto"/>
          <w:sz w:val="32"/>
          <w:szCs w:val="32"/>
        </w:rPr>
        <w:t>其他类型农产品冷链设施，开展集成流通加工、区域分拨、城市配送等服务功能的设施设备建设，推广应用可循环监测的标准化周转箱，促进农产品冷链物流各环节有序衔接，提高冷链干线与支线衔接效率。参与新建冷链集配中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低温配送中心</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农产品冷链物流园区</w:t>
      </w:r>
      <w:r>
        <w:rPr>
          <w:rFonts w:hint="eastAsia" w:ascii="仿宋_GB2312" w:hAnsi="仿宋_GB2312" w:eastAsia="仿宋_GB2312" w:cs="仿宋_GB2312"/>
          <w:b w:val="0"/>
          <w:bCs w:val="0"/>
          <w:color w:val="auto"/>
          <w:sz w:val="32"/>
          <w:szCs w:val="32"/>
          <w:lang w:val="en-US" w:eastAsia="zh-CN"/>
        </w:rPr>
        <w:t>和</w:t>
      </w:r>
      <w:r>
        <w:rPr>
          <w:rFonts w:hint="eastAsia" w:ascii="仿宋_GB2312" w:hAnsi="仿宋_GB2312" w:eastAsia="仿宋_GB2312" w:cs="仿宋_GB2312"/>
          <w:b w:val="0"/>
          <w:bCs w:val="0"/>
          <w:color w:val="auto"/>
          <w:sz w:val="32"/>
          <w:szCs w:val="32"/>
        </w:rPr>
        <w:t>其他类型农产品冷链设施试点项目申报的农产品流通企业，项目的有效投资（不含增值税）不低于1</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00万元。全力支持自建冷藏库的在建项目，但不支持租赁冷藏库的在建项目。</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（二）统筹支持农产品市场保供。</w:t>
      </w:r>
      <w:r>
        <w:rPr>
          <w:rFonts w:hint="eastAsia" w:ascii="仿宋_GB2312" w:hAnsi="仿宋_GB2312" w:eastAsia="仿宋_GB2312" w:cs="仿宋_GB2312"/>
          <w:b w:val="0"/>
          <w:bCs w:val="0"/>
          <w:color w:val="auto"/>
          <w:kern w:val="2"/>
          <w:sz w:val="32"/>
          <w:szCs w:val="32"/>
          <w:lang w:val="en-US" w:eastAsia="zh-CN" w:bidi="ar-SA"/>
        </w:rPr>
        <w:t>根据实际情况适当支持2022年以来承担相关流通保供任务并受到疫情影响的农产品批发市场、商贸流通企业、冷链物流企业。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四、支持条件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2023年1月至2023年12月开工建设，且在2023年12月底前中央财政补助资金能够全部支出、形成实物工作量的新建（改扩建）项目。外地注册法人但在本省有实体的非法人机构，及在本省注册法人但在周边地区建设实体的机构均可申报项目。承建企业同时需具备以下资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有独立、健全的财务核算和管理制度，财务管理规范，信誉及财务状况良好，取得开展相关业务的资格。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基础设施建设项目审批、规划、土地、环保等手续齐全，建设资金落实的新建或改扩建项目。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按照“择优不重复”原则，同一建设内容，中央财政资金不得重复申请；已获得2019年农商互联完善农产品供应链、2022年县域商业建设行动中央财政资金支持的项目不得重复申请。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近3年内发生过安全生产事故、被列入严重失信主体“黑名单”、因破坏市场经济秩序受到财政处罚处分的企业和单位，不纳入支持范围。</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2022年以来承担相关流通保供任务并受到疫情影响的农产品批发市场、商贸流通企业、冷链物流企业</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五、支持标准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单个项目支持比例不超过年度实际有效投资额的30%。有效投资范围包括用于购买和建设冷链物流设施设备所发生的费用。不包括土地款、招待费、租金、办公费等费用；不包括建设办公楼、宿舍、门卫、锅炉房等与生产无直接关系的房屋建筑物的费用。严禁将中央资金用于征地拆迁、支付罚款、捐款、赞助、投资、偿还债务以及财政补助单位人员经费和项目工作经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（二）提高冷链物流重点干支线配送效率的项目，单个项目实际有效投资额不低于1000万元，投资额5000万元（含）以下的，支持额度不超过1000万元；投资额5000万元以上的，支持额度不超过1500万元。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）统筹支持农产品市场保供企业，每家支持不超过50万元，疫情保供方向中央财政资金支持比例不得高于当地获得中央财政资金支持总额的10%。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六、项目情况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（一）黑龙江（伊春）中药材物流基地冷链体系建设项目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支持方向：提高冷链物流重点干支线配送效率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承建单位：黑龙江越橘庄园生物科技有限公司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建设周期：2023年4月</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2023年11月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预计投资额：5050万元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支持资金额：1</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00万元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主要建设内容：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建设恒温库库容22680m³</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5—10℃</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sz w:val="32"/>
          <w:szCs w:val="32"/>
        </w:rPr>
        <w:t>；冷藏库库容22680m³</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sz w:val="32"/>
          <w:szCs w:val="32"/>
        </w:rPr>
        <w:t>；冷库库容9000m³</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—18℃</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sz w:val="32"/>
          <w:szCs w:val="32"/>
          <w:lang w:eastAsia="zh-CN"/>
        </w:rPr>
        <w:t>；购置</w:t>
      </w:r>
      <w:r>
        <w:rPr>
          <w:rFonts w:hint="eastAsia" w:ascii="仿宋_GB2312" w:hAnsi="仿宋_GB2312" w:eastAsia="仿宋_GB2312" w:cs="仿宋_GB2312"/>
          <w:b w:val="0"/>
          <w:bCs w:val="0"/>
          <w:color w:val="auto"/>
          <w:sz w:val="32"/>
          <w:szCs w:val="32"/>
        </w:rPr>
        <w:t>冷藏车2辆，冷链设备设施购置安装及调试。</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冷链设备设施</w:t>
      </w:r>
      <w:r>
        <w:rPr>
          <w:rFonts w:hint="eastAsia" w:ascii="仿宋_GB2312" w:hAnsi="仿宋_GB2312" w:eastAsia="仿宋_GB2312" w:cs="仿宋_GB2312"/>
          <w:b w:val="0"/>
          <w:bCs w:val="0"/>
          <w:color w:val="auto"/>
          <w:sz w:val="32"/>
          <w:szCs w:val="32"/>
          <w:lang w:eastAsia="zh-CN"/>
        </w:rPr>
        <w:t>明细见附件</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项目进度安排：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2023年4月 完成恒温库基础建设任务，预计完成投资417万元；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2023年5月 完成冷藏库基础及主体结构、恒温库主体结构建设任务，预计完成投资1663万元。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2023年6月 完成冷库基础及主体结构建设任务，预计完成投资571万元。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2023年7月 完成装饰装修，预计完成投资785万元。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2023年8月 完成发泡保温、冷藏库、设备设施购置、变压器购置安装建设任务，预计完成投资650万元。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2023年9月 完成冷库设备设施购置及安装、叉车、堆垛机、货架购置建设任务，预计完成投资780万元。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2023年10月完成货架安装、冷藏车购置任务，预计完成投资184万元。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2023年11月 完成收尾工程及申请验收任务。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auto"/>
          <w:sz w:val="32"/>
          <w:szCs w:val="32"/>
          <w:u w:val="none"/>
        </w:rPr>
      </w:pPr>
      <w:r>
        <w:rPr>
          <w:rFonts w:hint="eastAsia" w:ascii="楷体_GB2312" w:hAnsi="楷体_GB2312" w:eastAsia="楷体_GB2312" w:cs="楷体_GB2312"/>
          <w:b w:val="0"/>
          <w:bCs w:val="0"/>
          <w:color w:val="auto"/>
          <w:sz w:val="32"/>
          <w:szCs w:val="32"/>
          <w:u w:val="none"/>
        </w:rPr>
        <w:t>（二）</w:t>
      </w:r>
      <w:r>
        <w:rPr>
          <w:rFonts w:hint="default" w:ascii="楷体_GB2312" w:hAnsi="楷体_GB2312" w:eastAsia="楷体_GB2312" w:cs="楷体_GB2312"/>
          <w:b w:val="0"/>
          <w:bCs w:val="0"/>
          <w:color w:val="auto"/>
          <w:sz w:val="32"/>
          <w:szCs w:val="32"/>
          <w:u w:val="none"/>
          <w:lang w:val="en-US" w:eastAsia="zh-CN"/>
        </w:rPr>
        <w:t>汤旺县松蓝农产品</w:t>
      </w:r>
      <w:r>
        <w:rPr>
          <w:rFonts w:hint="default" w:ascii="楷体_GB2312" w:hAnsi="楷体_GB2312" w:eastAsia="楷体_GB2312" w:cs="楷体_GB2312"/>
          <w:b w:val="0"/>
          <w:bCs w:val="0"/>
          <w:color w:val="auto"/>
          <w:sz w:val="32"/>
          <w:szCs w:val="32"/>
          <w:u w:val="none"/>
          <w:lang w:val="en-US" w:eastAsia="zh-Hans"/>
        </w:rPr>
        <w:t>商贸</w:t>
      </w:r>
      <w:r>
        <w:rPr>
          <w:rFonts w:hint="default" w:ascii="楷体_GB2312" w:hAnsi="楷体_GB2312" w:eastAsia="楷体_GB2312" w:cs="楷体_GB2312"/>
          <w:b w:val="0"/>
          <w:bCs w:val="0"/>
          <w:color w:val="auto"/>
          <w:sz w:val="32"/>
          <w:szCs w:val="32"/>
          <w:u w:val="none"/>
          <w:lang w:val="en-US" w:eastAsia="zh-CN"/>
        </w:rPr>
        <w:t>冷链基地</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支持方向：提高冷链物流重点干支线配送效率</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承建单位：</w:t>
      </w:r>
      <w:r>
        <w:rPr>
          <w:rFonts w:hint="default" w:ascii="Times New Roman Regular" w:hAnsi="Times New Roman Regular" w:eastAsia="仿宋_GB2312" w:cs="Times New Roman Regular"/>
          <w:b w:val="0"/>
          <w:bCs w:val="0"/>
          <w:color w:val="auto"/>
          <w:sz w:val="32"/>
          <w:szCs w:val="32"/>
          <w:highlight w:val="none"/>
          <w:u w:val="none"/>
          <w:lang w:val="en-US" w:eastAsia="zh-CN"/>
        </w:rPr>
        <w:t>汤旺县松蓝农产品</w:t>
      </w:r>
      <w:r>
        <w:rPr>
          <w:rFonts w:hint="default" w:ascii="Times New Roman Regular" w:hAnsi="Times New Roman Regular" w:eastAsia="仿宋_GB2312" w:cs="Times New Roman Regular"/>
          <w:b w:val="0"/>
          <w:bCs w:val="0"/>
          <w:color w:val="auto"/>
          <w:sz w:val="32"/>
          <w:szCs w:val="32"/>
          <w:highlight w:val="none"/>
          <w:u w:val="none"/>
          <w:lang w:val="en-US" w:eastAsia="zh-Hans"/>
        </w:rPr>
        <w:t>商贸</w:t>
      </w:r>
      <w:r>
        <w:rPr>
          <w:rFonts w:hint="default" w:ascii="Times New Roman Regular" w:hAnsi="Times New Roman Regular" w:eastAsia="仿宋_GB2312" w:cs="Times New Roman Regular"/>
          <w:b w:val="0"/>
          <w:bCs w:val="0"/>
          <w:color w:val="auto"/>
          <w:sz w:val="32"/>
          <w:szCs w:val="32"/>
          <w:highlight w:val="none"/>
          <w:u w:val="none"/>
          <w:lang w:val="en-US" w:eastAsia="zh-CN"/>
        </w:rPr>
        <w:t>冷链基地</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建设周期：2023年</w:t>
      </w:r>
      <w:r>
        <w:rPr>
          <w:rFonts w:hint="eastAsia" w:ascii="仿宋_GB2312" w:hAnsi="仿宋_GB2312" w:eastAsia="仿宋_GB2312" w:cs="仿宋_GB2312"/>
          <w:b w:val="0"/>
          <w:bCs w:val="0"/>
          <w:color w:val="auto"/>
          <w:sz w:val="32"/>
          <w:szCs w:val="32"/>
          <w:u w:val="none"/>
          <w:lang w:val="en-US" w:eastAsia="zh-CN"/>
        </w:rPr>
        <w:t>4</w:t>
      </w:r>
      <w:r>
        <w:rPr>
          <w:rFonts w:hint="eastAsia" w:ascii="仿宋_GB2312" w:hAnsi="仿宋_GB2312" w:eastAsia="仿宋_GB2312" w:cs="仿宋_GB2312"/>
          <w:b w:val="0"/>
          <w:bCs w:val="0"/>
          <w:color w:val="auto"/>
          <w:sz w:val="32"/>
          <w:szCs w:val="32"/>
          <w:u w:val="none"/>
        </w:rPr>
        <w:t>月—2023年1</w:t>
      </w: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rPr>
        <w:t>月</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预计投资额：</w:t>
      </w:r>
      <w:r>
        <w:rPr>
          <w:rFonts w:hint="eastAsia" w:ascii="仿宋_GB2312" w:hAnsi="仿宋_GB2312" w:eastAsia="仿宋_GB2312" w:cs="仿宋_GB2312"/>
          <w:b w:val="0"/>
          <w:bCs w:val="0"/>
          <w:color w:val="auto"/>
          <w:sz w:val="32"/>
          <w:szCs w:val="32"/>
          <w:u w:val="none"/>
          <w:lang w:val="en-US" w:eastAsia="zh-CN"/>
        </w:rPr>
        <w:t>5030</w:t>
      </w:r>
      <w:r>
        <w:rPr>
          <w:rFonts w:hint="eastAsia" w:ascii="仿宋_GB2312" w:hAnsi="仿宋_GB2312" w:eastAsia="仿宋_GB2312" w:cs="仿宋_GB2312"/>
          <w:b w:val="0"/>
          <w:bCs w:val="0"/>
          <w:color w:val="auto"/>
          <w:sz w:val="32"/>
          <w:szCs w:val="32"/>
          <w:u w:val="none"/>
        </w:rPr>
        <w:t>万</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支持资金额：</w:t>
      </w:r>
      <w:r>
        <w:rPr>
          <w:rFonts w:hint="eastAsia" w:ascii="仿宋_GB2312" w:hAnsi="仿宋_GB2312" w:eastAsia="仿宋_GB2312" w:cs="仿宋_GB2312"/>
          <w:b w:val="0"/>
          <w:bCs w:val="0"/>
          <w:color w:val="auto"/>
          <w:sz w:val="32"/>
          <w:szCs w:val="32"/>
          <w:u w:val="none"/>
          <w:lang w:val="en-US" w:eastAsia="zh-CN"/>
        </w:rPr>
        <w:t>150</w:t>
      </w:r>
      <w:r>
        <w:rPr>
          <w:rFonts w:hint="eastAsia" w:ascii="仿宋_GB2312" w:hAnsi="仿宋_GB2312" w:eastAsia="仿宋_GB2312" w:cs="仿宋_GB2312"/>
          <w:b w:val="0"/>
          <w:bCs w:val="0"/>
          <w:color w:val="auto"/>
          <w:sz w:val="32"/>
          <w:szCs w:val="32"/>
          <w:u w:val="none"/>
        </w:rPr>
        <w:t>0万</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主要建设内容：</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rPr>
        <w:t>项目主要包括新增冷库一处，库容6480m³（</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22℃）；改</w:t>
      </w:r>
      <w:r>
        <w:rPr>
          <w:rFonts w:hint="eastAsia" w:ascii="仿宋_GB2312" w:hAnsi="仿宋_GB2312" w:eastAsia="仿宋_GB2312" w:cs="仿宋_GB2312"/>
          <w:b w:val="0"/>
          <w:bCs w:val="0"/>
          <w:color w:val="auto"/>
          <w:sz w:val="32"/>
          <w:szCs w:val="32"/>
          <w:u w:val="none"/>
          <w:lang w:eastAsia="zh-CN"/>
        </w:rPr>
        <w:t>建</w:t>
      </w:r>
      <w:r>
        <w:rPr>
          <w:rFonts w:hint="eastAsia" w:ascii="仿宋_GB2312" w:hAnsi="仿宋_GB2312" w:eastAsia="仿宋_GB2312" w:cs="仿宋_GB2312"/>
          <w:b w:val="0"/>
          <w:bCs w:val="0"/>
          <w:color w:val="auto"/>
          <w:sz w:val="32"/>
          <w:szCs w:val="32"/>
          <w:u w:val="none"/>
        </w:rPr>
        <w:t>冷</w:t>
      </w:r>
      <w:r>
        <w:rPr>
          <w:rFonts w:hint="eastAsia" w:ascii="仿宋_GB2312" w:hAnsi="仿宋_GB2312" w:eastAsia="仿宋_GB2312" w:cs="仿宋_GB2312"/>
          <w:b w:val="0"/>
          <w:bCs w:val="0"/>
          <w:color w:val="auto"/>
          <w:spacing w:val="-11"/>
          <w:sz w:val="32"/>
          <w:szCs w:val="32"/>
          <w:u w:val="none"/>
        </w:rPr>
        <w:t>库一处，库容5810.4m³（</w:t>
      </w:r>
      <w:r>
        <w:rPr>
          <w:rFonts w:hint="eastAsia" w:ascii="仿宋_GB2312" w:hAnsi="仿宋_GB2312" w:eastAsia="仿宋_GB2312" w:cs="仿宋_GB2312"/>
          <w:b w:val="0"/>
          <w:bCs w:val="0"/>
          <w:color w:val="auto"/>
          <w:spacing w:val="-11"/>
          <w:sz w:val="32"/>
          <w:szCs w:val="32"/>
          <w:u w:val="none"/>
          <w:lang w:eastAsia="zh-CN"/>
        </w:rPr>
        <w:t>—</w:t>
      </w:r>
      <w:r>
        <w:rPr>
          <w:rFonts w:hint="eastAsia" w:ascii="仿宋_GB2312" w:hAnsi="仿宋_GB2312" w:eastAsia="仿宋_GB2312" w:cs="仿宋_GB2312"/>
          <w:b w:val="0"/>
          <w:bCs w:val="0"/>
          <w:color w:val="auto"/>
          <w:spacing w:val="-11"/>
          <w:sz w:val="32"/>
          <w:szCs w:val="32"/>
          <w:u w:val="none"/>
        </w:rPr>
        <w:t>22℃）；新增冷库一处，库容5400m</w:t>
      </w:r>
      <w:r>
        <w:rPr>
          <w:rFonts w:hint="eastAsia" w:ascii="仿宋_GB2312" w:hAnsi="仿宋_GB2312" w:eastAsia="仿宋_GB2312" w:cs="仿宋_GB2312"/>
          <w:b w:val="0"/>
          <w:bCs w:val="0"/>
          <w:color w:val="auto"/>
          <w:sz w:val="32"/>
          <w:szCs w:val="32"/>
          <w:u w:val="none"/>
        </w:rPr>
        <w:t>³（</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22℃）。新增低温冷藏运输车1辆、新增低温冷库专用叉车4辆、新增低温冷库专用立体货架2000组等。</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冷链设备设施</w:t>
      </w:r>
      <w:r>
        <w:rPr>
          <w:rFonts w:hint="eastAsia" w:ascii="仿宋_GB2312" w:hAnsi="仿宋_GB2312" w:eastAsia="仿宋_GB2312" w:cs="仿宋_GB2312"/>
          <w:b w:val="0"/>
          <w:bCs w:val="0"/>
          <w:color w:val="auto"/>
          <w:sz w:val="32"/>
          <w:szCs w:val="32"/>
          <w:u w:val="none"/>
          <w:lang w:eastAsia="zh-CN"/>
        </w:rPr>
        <w:t>明细见附件</w:t>
      </w:r>
      <w:r>
        <w:rPr>
          <w:rFonts w:hint="eastAsia" w:ascii="仿宋_GB2312" w:hAnsi="仿宋_GB2312" w:eastAsia="仿宋_GB2312" w:cs="仿宋_GB2312"/>
          <w:b w:val="0"/>
          <w:bCs w:val="0"/>
          <w:color w:val="auto"/>
          <w:sz w:val="32"/>
          <w:szCs w:val="32"/>
          <w:u w:val="none"/>
          <w:lang w:val="en-US" w:eastAsia="zh-CN"/>
        </w:rPr>
        <w:t>4</w:t>
      </w:r>
      <w:r>
        <w:rPr>
          <w:rFonts w:hint="eastAsia" w:ascii="仿宋_GB2312" w:hAnsi="仿宋_GB2312" w:eastAsia="仿宋_GB2312" w:cs="仿宋_GB2312"/>
          <w:b w:val="0"/>
          <w:bCs w:val="0"/>
          <w:color w:val="auto"/>
          <w:sz w:val="32"/>
          <w:szCs w:val="32"/>
          <w:u w:val="none"/>
          <w:lang w:eastAsia="zh-CN"/>
        </w:rPr>
        <w:t>）</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项目进度安排：</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1.</w:t>
      </w:r>
      <w:r>
        <w:rPr>
          <w:rFonts w:hint="eastAsia" w:ascii="仿宋_GB2312" w:hAnsi="仿宋_GB2312" w:eastAsia="仿宋_GB2312" w:cs="仿宋_GB2312"/>
          <w:b w:val="0"/>
          <w:bCs w:val="0"/>
          <w:color w:val="auto"/>
          <w:sz w:val="32"/>
          <w:szCs w:val="32"/>
          <w:u w:val="none"/>
        </w:rPr>
        <w:t>2023</w:t>
      </w:r>
      <w:r>
        <w:rPr>
          <w:rFonts w:hint="eastAsia" w:ascii="仿宋_GB2312" w:hAnsi="仿宋_GB2312" w:eastAsia="仿宋_GB2312" w:cs="仿宋_GB2312"/>
          <w:b w:val="0"/>
          <w:bCs w:val="0"/>
          <w:color w:val="auto"/>
          <w:sz w:val="32"/>
          <w:szCs w:val="32"/>
          <w:u w:val="none"/>
          <w:lang w:val="en-US" w:eastAsia="zh-Hans"/>
        </w:rPr>
        <w:t>年</w:t>
      </w:r>
      <w:r>
        <w:rPr>
          <w:rFonts w:hint="eastAsia" w:ascii="仿宋_GB2312" w:hAnsi="仿宋_GB2312" w:eastAsia="仿宋_GB2312" w:cs="仿宋_GB2312"/>
          <w:b w:val="0"/>
          <w:bCs w:val="0"/>
          <w:color w:val="auto"/>
          <w:sz w:val="32"/>
          <w:szCs w:val="32"/>
          <w:u w:val="none"/>
          <w:lang w:eastAsia="zh-Hans"/>
        </w:rPr>
        <w:t>4</w:t>
      </w:r>
      <w:r>
        <w:rPr>
          <w:rFonts w:hint="eastAsia" w:ascii="仿宋_GB2312" w:hAnsi="仿宋_GB2312" w:eastAsia="仿宋_GB2312" w:cs="仿宋_GB2312"/>
          <w:b w:val="0"/>
          <w:bCs w:val="0"/>
          <w:color w:val="auto"/>
          <w:sz w:val="32"/>
          <w:szCs w:val="32"/>
          <w:u w:val="none"/>
        </w:rPr>
        <w:t>月1日</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7月1日，完成</w:t>
      </w:r>
      <w:r>
        <w:rPr>
          <w:rFonts w:hint="eastAsia" w:ascii="仿宋_GB2312" w:hAnsi="仿宋_GB2312" w:eastAsia="仿宋_GB2312" w:cs="仿宋_GB2312"/>
          <w:b w:val="0"/>
          <w:bCs w:val="0"/>
          <w:color w:val="auto"/>
          <w:sz w:val="32"/>
          <w:szCs w:val="32"/>
          <w:u w:val="none"/>
          <w:lang w:val="en-US" w:eastAsia="zh-Hans"/>
        </w:rPr>
        <w:t>办理建设工程规划许可证</w:t>
      </w:r>
      <w:r>
        <w:rPr>
          <w:rFonts w:hint="eastAsia" w:ascii="仿宋_GB2312" w:hAnsi="仿宋_GB2312" w:eastAsia="仿宋_GB2312" w:cs="仿宋_GB2312"/>
          <w:b w:val="0"/>
          <w:bCs w:val="0"/>
          <w:color w:val="auto"/>
          <w:sz w:val="32"/>
          <w:szCs w:val="32"/>
          <w:u w:val="none"/>
          <w:lang w:eastAsia="zh-Hans"/>
        </w:rPr>
        <w:t>、</w:t>
      </w:r>
      <w:r>
        <w:rPr>
          <w:rFonts w:hint="eastAsia" w:ascii="仿宋_GB2312" w:hAnsi="仿宋_GB2312" w:eastAsia="仿宋_GB2312" w:cs="仿宋_GB2312"/>
          <w:b w:val="0"/>
          <w:bCs w:val="0"/>
          <w:color w:val="auto"/>
          <w:sz w:val="32"/>
          <w:szCs w:val="32"/>
          <w:u w:val="none"/>
          <w:lang w:val="en-US" w:eastAsia="zh-Hans"/>
        </w:rPr>
        <w:t>建设用地规划许可证</w:t>
      </w:r>
      <w:r>
        <w:rPr>
          <w:rFonts w:hint="eastAsia" w:ascii="仿宋_GB2312" w:hAnsi="仿宋_GB2312" w:eastAsia="仿宋_GB2312" w:cs="仿宋_GB2312"/>
          <w:b w:val="0"/>
          <w:bCs w:val="0"/>
          <w:color w:val="auto"/>
          <w:sz w:val="32"/>
          <w:szCs w:val="32"/>
          <w:u w:val="none"/>
        </w:rPr>
        <w:t>；</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rPr>
        <w:t>2023</w:t>
      </w:r>
      <w:r>
        <w:rPr>
          <w:rFonts w:hint="eastAsia" w:ascii="仿宋_GB2312" w:hAnsi="仿宋_GB2312" w:eastAsia="仿宋_GB2312" w:cs="仿宋_GB2312"/>
          <w:b w:val="0"/>
          <w:bCs w:val="0"/>
          <w:color w:val="auto"/>
          <w:sz w:val="32"/>
          <w:szCs w:val="32"/>
          <w:u w:val="none"/>
          <w:lang w:val="en-US" w:eastAsia="zh-Hans"/>
        </w:rPr>
        <w:t>年</w:t>
      </w:r>
      <w:r>
        <w:rPr>
          <w:rFonts w:hint="eastAsia" w:ascii="仿宋_GB2312" w:hAnsi="仿宋_GB2312" w:eastAsia="仿宋_GB2312" w:cs="仿宋_GB2312"/>
          <w:b w:val="0"/>
          <w:bCs w:val="0"/>
          <w:color w:val="auto"/>
          <w:sz w:val="32"/>
          <w:szCs w:val="32"/>
          <w:u w:val="none"/>
          <w:lang w:val="en-US" w:eastAsia="zh-CN"/>
        </w:rPr>
        <w:t>7</w:t>
      </w:r>
      <w:r>
        <w:rPr>
          <w:rFonts w:hint="eastAsia" w:ascii="仿宋_GB2312" w:hAnsi="仿宋_GB2312" w:eastAsia="仿宋_GB2312" w:cs="仿宋_GB2312"/>
          <w:b w:val="0"/>
          <w:bCs w:val="0"/>
          <w:color w:val="auto"/>
          <w:sz w:val="32"/>
          <w:szCs w:val="32"/>
          <w:u w:val="none"/>
          <w:lang w:val="en-US" w:eastAsia="zh-Hans"/>
        </w:rPr>
        <w:t>月</w:t>
      </w:r>
      <w:r>
        <w:rPr>
          <w:rFonts w:hint="eastAsia" w:ascii="仿宋_GB2312" w:hAnsi="仿宋_GB2312" w:eastAsia="仿宋_GB2312" w:cs="仿宋_GB2312"/>
          <w:b w:val="0"/>
          <w:bCs w:val="0"/>
          <w:color w:val="auto"/>
          <w:sz w:val="32"/>
          <w:szCs w:val="32"/>
          <w:u w:val="none"/>
          <w:lang w:val="en-US" w:eastAsia="zh-CN"/>
        </w:rPr>
        <w:t>1</w:t>
      </w:r>
      <w:r>
        <w:rPr>
          <w:rFonts w:hint="eastAsia" w:ascii="仿宋_GB2312" w:hAnsi="仿宋_GB2312" w:eastAsia="仿宋_GB2312" w:cs="仿宋_GB2312"/>
          <w:b w:val="0"/>
          <w:bCs w:val="0"/>
          <w:color w:val="auto"/>
          <w:sz w:val="32"/>
          <w:szCs w:val="32"/>
          <w:u w:val="none"/>
          <w:lang w:eastAsia="zh-Hans"/>
        </w:rPr>
        <w:t>5</w:t>
      </w:r>
      <w:r>
        <w:rPr>
          <w:rFonts w:hint="eastAsia" w:ascii="仿宋_GB2312" w:hAnsi="仿宋_GB2312" w:eastAsia="仿宋_GB2312" w:cs="仿宋_GB2312"/>
          <w:b w:val="0"/>
          <w:bCs w:val="0"/>
          <w:color w:val="auto"/>
          <w:sz w:val="32"/>
          <w:szCs w:val="32"/>
          <w:u w:val="none"/>
          <w:lang w:val="en-US" w:eastAsia="zh-Hans"/>
        </w:rPr>
        <w:t>日</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9</w:t>
      </w:r>
      <w:r>
        <w:rPr>
          <w:rFonts w:hint="eastAsia" w:ascii="仿宋_GB2312" w:hAnsi="仿宋_GB2312" w:eastAsia="仿宋_GB2312" w:cs="仿宋_GB2312"/>
          <w:b w:val="0"/>
          <w:bCs w:val="0"/>
          <w:color w:val="auto"/>
          <w:sz w:val="32"/>
          <w:szCs w:val="32"/>
          <w:u w:val="none"/>
          <w:lang w:val="en-US" w:eastAsia="zh-Hans"/>
        </w:rPr>
        <w:t>月</w:t>
      </w:r>
      <w:r>
        <w:rPr>
          <w:rFonts w:hint="eastAsia" w:ascii="仿宋_GB2312" w:hAnsi="仿宋_GB2312" w:eastAsia="仿宋_GB2312" w:cs="仿宋_GB2312"/>
          <w:b w:val="0"/>
          <w:bCs w:val="0"/>
          <w:color w:val="auto"/>
          <w:sz w:val="32"/>
          <w:szCs w:val="32"/>
          <w:u w:val="none"/>
          <w:lang w:eastAsia="zh-Hans"/>
        </w:rPr>
        <w:t>3</w:t>
      </w:r>
      <w:r>
        <w:rPr>
          <w:rFonts w:hint="eastAsia" w:ascii="仿宋_GB2312" w:hAnsi="仿宋_GB2312" w:eastAsia="仿宋_GB2312" w:cs="仿宋_GB2312"/>
          <w:b w:val="0"/>
          <w:bCs w:val="0"/>
          <w:color w:val="auto"/>
          <w:sz w:val="32"/>
          <w:szCs w:val="32"/>
          <w:u w:val="none"/>
          <w:lang w:val="en-US" w:eastAsia="zh-CN"/>
        </w:rPr>
        <w:t>0</w:t>
      </w:r>
      <w:r>
        <w:rPr>
          <w:rFonts w:hint="eastAsia" w:ascii="仿宋_GB2312" w:hAnsi="仿宋_GB2312" w:eastAsia="仿宋_GB2312" w:cs="仿宋_GB2312"/>
          <w:b w:val="0"/>
          <w:bCs w:val="0"/>
          <w:color w:val="auto"/>
          <w:sz w:val="32"/>
          <w:szCs w:val="32"/>
          <w:u w:val="none"/>
          <w:lang w:val="en-US" w:eastAsia="zh-Hans"/>
        </w:rPr>
        <w:t>日</w:t>
      </w:r>
      <w:r>
        <w:rPr>
          <w:rFonts w:hint="eastAsia" w:ascii="仿宋_GB2312" w:hAnsi="仿宋_GB2312" w:eastAsia="仿宋_GB2312" w:cs="仿宋_GB2312"/>
          <w:b w:val="0"/>
          <w:bCs w:val="0"/>
          <w:color w:val="auto"/>
          <w:sz w:val="32"/>
          <w:szCs w:val="32"/>
          <w:u w:val="none"/>
          <w:lang w:val="en-US" w:eastAsia="zh-CN"/>
        </w:rPr>
        <w:t>完成</w:t>
      </w:r>
      <w:r>
        <w:rPr>
          <w:rFonts w:hint="eastAsia" w:ascii="仿宋_GB2312" w:hAnsi="仿宋_GB2312" w:eastAsia="仿宋_GB2312" w:cs="仿宋_GB2312"/>
          <w:b w:val="0"/>
          <w:bCs w:val="0"/>
          <w:color w:val="auto"/>
          <w:sz w:val="32"/>
          <w:szCs w:val="32"/>
          <w:highlight w:val="none"/>
          <w:u w:val="none"/>
          <w:lang w:val="en-US" w:eastAsia="zh-Hans"/>
        </w:rPr>
        <w:t>新增库容</w:t>
      </w:r>
      <w:r>
        <w:rPr>
          <w:rFonts w:hint="eastAsia" w:ascii="仿宋_GB2312" w:hAnsi="仿宋_GB2312" w:eastAsia="仿宋_GB2312" w:cs="仿宋_GB2312"/>
          <w:b w:val="0"/>
          <w:bCs w:val="0"/>
          <w:color w:val="auto"/>
          <w:sz w:val="32"/>
          <w:szCs w:val="32"/>
          <w:u w:val="none"/>
        </w:rPr>
        <w:t>6480</w:t>
      </w:r>
      <w:r>
        <w:rPr>
          <w:rFonts w:hint="eastAsia" w:ascii="仿宋_GB2312" w:hAnsi="仿宋_GB2312" w:eastAsia="仿宋_GB2312" w:cs="仿宋_GB2312"/>
          <w:b w:val="0"/>
          <w:bCs w:val="0"/>
          <w:color w:val="auto"/>
          <w:sz w:val="32"/>
          <w:szCs w:val="32"/>
          <w:u w:val="none"/>
          <w:lang w:val="en-US" w:eastAsia="zh-CN"/>
        </w:rPr>
        <w:t>m³</w:t>
      </w:r>
      <w:r>
        <w:rPr>
          <w:rFonts w:hint="eastAsia" w:ascii="仿宋_GB2312" w:hAnsi="仿宋_GB2312" w:eastAsia="仿宋_GB2312" w:cs="仿宋_GB2312"/>
          <w:b w:val="0"/>
          <w:bCs w:val="0"/>
          <w:color w:val="auto"/>
          <w:sz w:val="32"/>
          <w:szCs w:val="32"/>
          <w:u w:val="none"/>
          <w:lang w:val="en-US" w:eastAsia="zh-Hans"/>
        </w:rPr>
        <w:t>低温</w:t>
      </w:r>
      <w:r>
        <w:rPr>
          <w:rFonts w:hint="eastAsia" w:ascii="仿宋_GB2312" w:hAnsi="仿宋_GB2312" w:eastAsia="仿宋_GB2312" w:cs="仿宋_GB2312"/>
          <w:b w:val="0"/>
          <w:bCs w:val="0"/>
          <w:color w:val="auto"/>
          <w:sz w:val="32"/>
          <w:szCs w:val="32"/>
          <w:highlight w:val="none"/>
          <w:u w:val="none"/>
          <w:lang w:val="en-US" w:eastAsia="zh-CN"/>
        </w:rPr>
        <w:t>冷库</w:t>
      </w:r>
      <w:r>
        <w:rPr>
          <w:rFonts w:hint="eastAsia" w:ascii="仿宋_GB2312" w:hAnsi="仿宋_GB2312" w:eastAsia="仿宋_GB2312" w:cs="仿宋_GB2312"/>
          <w:b w:val="0"/>
          <w:bCs w:val="0"/>
          <w:color w:val="auto"/>
          <w:sz w:val="32"/>
          <w:szCs w:val="32"/>
          <w:highlight w:val="none"/>
          <w:u w:val="none"/>
          <w:lang w:eastAsia="zh-CN"/>
        </w:rPr>
        <w:t>1</w:t>
      </w:r>
      <w:r>
        <w:rPr>
          <w:rFonts w:hint="eastAsia" w:ascii="仿宋_GB2312" w:hAnsi="仿宋_GB2312" w:eastAsia="仿宋_GB2312" w:cs="仿宋_GB2312"/>
          <w:b w:val="0"/>
          <w:bCs w:val="0"/>
          <w:color w:val="auto"/>
          <w:sz w:val="32"/>
          <w:szCs w:val="32"/>
          <w:highlight w:val="none"/>
          <w:u w:val="none"/>
          <w:lang w:val="en-US" w:eastAsia="zh-Hans"/>
        </w:rPr>
        <w:t>处</w:t>
      </w:r>
      <w:r>
        <w:rPr>
          <w:rFonts w:hint="eastAsia" w:ascii="仿宋_GB2312" w:hAnsi="仿宋_GB2312" w:eastAsia="仿宋_GB2312" w:cs="仿宋_GB2312"/>
          <w:b w:val="0"/>
          <w:bCs w:val="0"/>
          <w:color w:val="auto"/>
          <w:sz w:val="32"/>
          <w:szCs w:val="32"/>
          <w:highlight w:val="none"/>
          <w:u w:val="none"/>
          <w:lang w:eastAsia="zh-Hans"/>
        </w:rPr>
        <w:t>（</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22℃</w:t>
      </w:r>
      <w:r>
        <w:rPr>
          <w:rFonts w:hint="eastAsia" w:ascii="仿宋_GB2312" w:hAnsi="仿宋_GB2312" w:eastAsia="仿宋_GB2312" w:cs="仿宋_GB2312"/>
          <w:b w:val="0"/>
          <w:bCs w:val="0"/>
          <w:color w:val="auto"/>
          <w:sz w:val="32"/>
          <w:szCs w:val="32"/>
          <w:highlight w:val="none"/>
          <w:u w:val="none"/>
          <w:lang w:eastAsia="zh-Hans"/>
        </w:rPr>
        <w:t>）</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完成</w:t>
      </w:r>
      <w:r>
        <w:rPr>
          <w:rFonts w:hint="eastAsia" w:ascii="仿宋_GB2312" w:hAnsi="仿宋_GB2312" w:eastAsia="仿宋_GB2312" w:cs="仿宋_GB2312"/>
          <w:b w:val="0"/>
          <w:bCs w:val="0"/>
          <w:color w:val="auto"/>
          <w:sz w:val="32"/>
          <w:szCs w:val="32"/>
          <w:highlight w:val="none"/>
          <w:u w:val="none"/>
          <w:lang w:eastAsia="zh-CN"/>
        </w:rPr>
        <w:t>投资1802</w:t>
      </w:r>
      <w:r>
        <w:rPr>
          <w:rFonts w:hint="eastAsia" w:ascii="仿宋_GB2312" w:hAnsi="仿宋_GB2312" w:eastAsia="仿宋_GB2312" w:cs="仿宋_GB2312"/>
          <w:b w:val="0"/>
          <w:bCs w:val="0"/>
          <w:color w:val="auto"/>
          <w:sz w:val="32"/>
          <w:szCs w:val="32"/>
          <w:highlight w:val="none"/>
          <w:u w:val="none"/>
          <w:lang w:val="en-US" w:eastAsia="zh-CN"/>
        </w:rPr>
        <w:t>万元</w:t>
      </w:r>
      <w:r>
        <w:rPr>
          <w:rFonts w:hint="eastAsia" w:ascii="仿宋_GB2312" w:hAnsi="仿宋_GB2312" w:eastAsia="仿宋_GB2312" w:cs="仿宋_GB2312"/>
          <w:b w:val="0"/>
          <w:bCs w:val="0"/>
          <w:color w:val="auto"/>
          <w:sz w:val="32"/>
          <w:szCs w:val="32"/>
          <w:highlight w:val="none"/>
          <w:u w:val="none"/>
          <w:lang w:eastAsia="zh-CN"/>
        </w:rPr>
        <w:t>；</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3.2023年</w:t>
      </w:r>
      <w:r>
        <w:rPr>
          <w:rFonts w:hint="eastAsia" w:ascii="仿宋_GB2312" w:hAnsi="仿宋_GB2312" w:eastAsia="仿宋_GB2312" w:cs="仿宋_GB2312"/>
          <w:b w:val="0"/>
          <w:bCs w:val="0"/>
          <w:color w:val="auto"/>
          <w:sz w:val="32"/>
          <w:szCs w:val="32"/>
          <w:highlight w:val="none"/>
          <w:u w:val="none"/>
          <w:lang w:eastAsia="zh-CN"/>
        </w:rPr>
        <w:t>8</w:t>
      </w:r>
      <w:r>
        <w:rPr>
          <w:rFonts w:hint="eastAsia" w:ascii="仿宋_GB2312" w:hAnsi="仿宋_GB2312" w:eastAsia="仿宋_GB2312" w:cs="仿宋_GB2312"/>
          <w:b w:val="0"/>
          <w:bCs w:val="0"/>
          <w:color w:val="auto"/>
          <w:sz w:val="32"/>
          <w:szCs w:val="32"/>
          <w:highlight w:val="none"/>
          <w:u w:val="none"/>
          <w:lang w:val="en-US" w:eastAsia="zh-CN"/>
        </w:rPr>
        <w:t>月1日—</w:t>
      </w:r>
      <w:r>
        <w:rPr>
          <w:rFonts w:hint="eastAsia" w:ascii="仿宋_GB2312" w:hAnsi="仿宋_GB2312" w:eastAsia="仿宋_GB2312" w:cs="仿宋_GB2312"/>
          <w:b w:val="0"/>
          <w:bCs w:val="0"/>
          <w:color w:val="auto"/>
          <w:sz w:val="32"/>
          <w:szCs w:val="32"/>
          <w:highlight w:val="none"/>
          <w:u w:val="none"/>
          <w:lang w:eastAsia="zh-CN"/>
        </w:rPr>
        <w:t>10</w:t>
      </w:r>
      <w:r>
        <w:rPr>
          <w:rFonts w:hint="eastAsia" w:ascii="仿宋_GB2312" w:hAnsi="仿宋_GB2312" w:eastAsia="仿宋_GB2312" w:cs="仿宋_GB2312"/>
          <w:b w:val="0"/>
          <w:bCs w:val="0"/>
          <w:color w:val="auto"/>
          <w:sz w:val="32"/>
          <w:szCs w:val="32"/>
          <w:highlight w:val="none"/>
          <w:u w:val="none"/>
          <w:lang w:val="en-US" w:eastAsia="zh-CN"/>
        </w:rPr>
        <w:t>月</w:t>
      </w:r>
      <w:r>
        <w:rPr>
          <w:rFonts w:hint="eastAsia" w:ascii="仿宋_GB2312" w:hAnsi="仿宋_GB2312" w:eastAsia="仿宋_GB2312" w:cs="仿宋_GB2312"/>
          <w:b w:val="0"/>
          <w:bCs w:val="0"/>
          <w:color w:val="auto"/>
          <w:sz w:val="32"/>
          <w:szCs w:val="32"/>
          <w:highlight w:val="none"/>
          <w:u w:val="none"/>
          <w:lang w:eastAsia="zh-CN"/>
        </w:rPr>
        <w:t>15</w:t>
      </w:r>
      <w:r>
        <w:rPr>
          <w:rFonts w:hint="eastAsia" w:ascii="仿宋_GB2312" w:hAnsi="仿宋_GB2312" w:eastAsia="仿宋_GB2312" w:cs="仿宋_GB2312"/>
          <w:b w:val="0"/>
          <w:bCs w:val="0"/>
          <w:color w:val="auto"/>
          <w:sz w:val="32"/>
          <w:szCs w:val="32"/>
          <w:highlight w:val="none"/>
          <w:u w:val="none"/>
          <w:lang w:val="en-US" w:eastAsia="zh-CN"/>
        </w:rPr>
        <w:t>日完成改建</w:t>
      </w:r>
      <w:r>
        <w:rPr>
          <w:rFonts w:hint="eastAsia" w:ascii="仿宋_GB2312" w:hAnsi="仿宋_GB2312" w:eastAsia="仿宋_GB2312" w:cs="仿宋_GB2312"/>
          <w:b w:val="0"/>
          <w:bCs w:val="0"/>
          <w:color w:val="auto"/>
          <w:sz w:val="32"/>
          <w:szCs w:val="32"/>
          <w:highlight w:val="none"/>
          <w:u w:val="none"/>
          <w:lang w:val="en-US" w:eastAsia="zh-Hans"/>
        </w:rPr>
        <w:t>库容</w:t>
      </w:r>
      <w:r>
        <w:rPr>
          <w:rFonts w:hint="eastAsia" w:ascii="仿宋_GB2312" w:hAnsi="仿宋_GB2312" w:eastAsia="仿宋_GB2312" w:cs="仿宋_GB2312"/>
          <w:b w:val="0"/>
          <w:bCs w:val="0"/>
          <w:color w:val="auto"/>
          <w:sz w:val="32"/>
          <w:szCs w:val="32"/>
          <w:u w:val="none"/>
        </w:rPr>
        <w:t>5810.4</w:t>
      </w:r>
      <w:r>
        <w:rPr>
          <w:rFonts w:hint="eastAsia" w:ascii="仿宋_GB2312" w:hAnsi="仿宋_GB2312" w:eastAsia="仿宋_GB2312" w:cs="仿宋_GB2312"/>
          <w:b w:val="0"/>
          <w:bCs w:val="0"/>
          <w:color w:val="auto"/>
          <w:sz w:val="32"/>
          <w:szCs w:val="32"/>
          <w:highlight w:val="none"/>
          <w:u w:val="none"/>
          <w:lang w:val="en-US" w:eastAsia="zh-Hans"/>
        </w:rPr>
        <w:t>m</w:t>
      </w:r>
      <w:r>
        <w:rPr>
          <w:rFonts w:hint="eastAsia" w:ascii="仿宋_GB2312" w:hAnsi="仿宋_GB2312" w:eastAsia="仿宋_GB2312" w:cs="仿宋_GB2312"/>
          <w:b w:val="0"/>
          <w:bCs w:val="0"/>
          <w:color w:val="auto"/>
          <w:sz w:val="32"/>
          <w:szCs w:val="32"/>
          <w:u w:val="none"/>
          <w:lang w:val="en-US" w:eastAsia="zh-CN"/>
        </w:rPr>
        <w:t>³</w:t>
      </w:r>
      <w:r>
        <w:rPr>
          <w:rFonts w:hint="eastAsia" w:ascii="仿宋_GB2312" w:hAnsi="仿宋_GB2312" w:eastAsia="仿宋_GB2312" w:cs="仿宋_GB2312"/>
          <w:b w:val="0"/>
          <w:bCs w:val="0"/>
          <w:color w:val="auto"/>
          <w:sz w:val="32"/>
          <w:szCs w:val="32"/>
          <w:u w:val="none"/>
          <w:lang w:val="en-US" w:eastAsia="zh-Hans"/>
        </w:rPr>
        <w:t>低温</w:t>
      </w:r>
      <w:r>
        <w:rPr>
          <w:rFonts w:hint="eastAsia" w:ascii="仿宋_GB2312" w:hAnsi="仿宋_GB2312" w:eastAsia="仿宋_GB2312" w:cs="仿宋_GB2312"/>
          <w:b w:val="0"/>
          <w:bCs w:val="0"/>
          <w:color w:val="auto"/>
          <w:sz w:val="32"/>
          <w:szCs w:val="32"/>
          <w:highlight w:val="none"/>
          <w:u w:val="none"/>
          <w:lang w:val="en-US" w:eastAsia="zh-CN"/>
        </w:rPr>
        <w:t>冷库</w:t>
      </w:r>
      <w:r>
        <w:rPr>
          <w:rFonts w:hint="eastAsia" w:ascii="仿宋_GB2312" w:hAnsi="仿宋_GB2312" w:eastAsia="仿宋_GB2312" w:cs="仿宋_GB2312"/>
          <w:b w:val="0"/>
          <w:bCs w:val="0"/>
          <w:color w:val="auto"/>
          <w:sz w:val="32"/>
          <w:szCs w:val="32"/>
          <w:highlight w:val="none"/>
          <w:u w:val="none"/>
          <w:lang w:eastAsia="zh-CN"/>
        </w:rPr>
        <w:t>1</w:t>
      </w:r>
      <w:r>
        <w:rPr>
          <w:rFonts w:hint="eastAsia" w:ascii="仿宋_GB2312" w:hAnsi="仿宋_GB2312" w:eastAsia="仿宋_GB2312" w:cs="仿宋_GB2312"/>
          <w:b w:val="0"/>
          <w:bCs w:val="0"/>
          <w:color w:val="auto"/>
          <w:sz w:val="32"/>
          <w:szCs w:val="32"/>
          <w:highlight w:val="none"/>
          <w:u w:val="none"/>
          <w:lang w:val="en-US" w:eastAsia="zh-Hans"/>
        </w:rPr>
        <w:t>处</w:t>
      </w:r>
      <w:r>
        <w:rPr>
          <w:rFonts w:hint="eastAsia" w:ascii="仿宋_GB2312" w:hAnsi="仿宋_GB2312" w:eastAsia="仿宋_GB2312" w:cs="仿宋_GB2312"/>
          <w:b w:val="0"/>
          <w:bCs w:val="0"/>
          <w:color w:val="auto"/>
          <w:sz w:val="32"/>
          <w:szCs w:val="32"/>
          <w:highlight w:val="none"/>
          <w:u w:val="none"/>
          <w:lang w:eastAsia="zh-Hans"/>
        </w:rPr>
        <w:t>（</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22℃</w:t>
      </w:r>
      <w:r>
        <w:rPr>
          <w:rFonts w:hint="eastAsia" w:ascii="仿宋_GB2312" w:hAnsi="仿宋_GB2312" w:eastAsia="仿宋_GB2312" w:cs="仿宋_GB2312"/>
          <w:b w:val="0"/>
          <w:bCs w:val="0"/>
          <w:color w:val="auto"/>
          <w:sz w:val="32"/>
          <w:szCs w:val="32"/>
          <w:highlight w:val="none"/>
          <w:u w:val="none"/>
          <w:lang w:eastAsia="zh-Hans"/>
        </w:rPr>
        <w:t>）</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完成</w:t>
      </w:r>
      <w:r>
        <w:rPr>
          <w:rFonts w:hint="eastAsia" w:ascii="仿宋_GB2312" w:hAnsi="仿宋_GB2312" w:eastAsia="仿宋_GB2312" w:cs="仿宋_GB2312"/>
          <w:b w:val="0"/>
          <w:bCs w:val="0"/>
          <w:color w:val="auto"/>
          <w:sz w:val="32"/>
          <w:szCs w:val="32"/>
          <w:highlight w:val="none"/>
          <w:u w:val="none"/>
          <w:lang w:eastAsia="zh-CN"/>
        </w:rPr>
        <w:t>投资134</w:t>
      </w:r>
      <w:r>
        <w:rPr>
          <w:rFonts w:hint="eastAsia" w:ascii="仿宋_GB2312" w:hAnsi="仿宋_GB2312" w:eastAsia="仿宋_GB2312" w:cs="仿宋_GB2312"/>
          <w:b w:val="0"/>
          <w:bCs w:val="0"/>
          <w:color w:val="auto"/>
          <w:sz w:val="32"/>
          <w:szCs w:val="32"/>
          <w:highlight w:val="none"/>
          <w:u w:val="none"/>
          <w:lang w:val="en-US" w:eastAsia="zh-CN"/>
        </w:rPr>
        <w:t>8万元</w:t>
      </w:r>
      <w:r>
        <w:rPr>
          <w:rFonts w:hint="eastAsia" w:ascii="仿宋_GB2312" w:hAnsi="仿宋_GB2312" w:eastAsia="仿宋_GB2312" w:cs="仿宋_GB2312"/>
          <w:b w:val="0"/>
          <w:bCs w:val="0"/>
          <w:color w:val="auto"/>
          <w:sz w:val="32"/>
          <w:szCs w:val="32"/>
          <w:highlight w:val="none"/>
          <w:u w:val="none"/>
          <w:lang w:eastAsia="zh-CN"/>
        </w:rPr>
        <w:t>；</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4</w:t>
      </w:r>
      <w:r>
        <w:rPr>
          <w:rFonts w:hint="eastAsia" w:ascii="仿宋_GB2312" w:hAnsi="仿宋_GB2312" w:eastAsia="仿宋_GB2312" w:cs="仿宋_GB2312"/>
          <w:b w:val="0"/>
          <w:bCs w:val="0"/>
          <w:color w:val="auto"/>
          <w:sz w:val="32"/>
          <w:szCs w:val="32"/>
          <w:highlight w:val="none"/>
          <w:u w:val="none"/>
          <w:lang w:val="en-US" w:eastAsia="zh-CN"/>
        </w:rPr>
        <w:t>.2023年</w:t>
      </w:r>
      <w:r>
        <w:rPr>
          <w:rFonts w:hint="eastAsia" w:ascii="仿宋_GB2312" w:hAnsi="仿宋_GB2312" w:eastAsia="仿宋_GB2312" w:cs="仿宋_GB2312"/>
          <w:b w:val="0"/>
          <w:bCs w:val="0"/>
          <w:color w:val="auto"/>
          <w:sz w:val="32"/>
          <w:szCs w:val="32"/>
          <w:highlight w:val="none"/>
          <w:u w:val="none"/>
          <w:lang w:eastAsia="zh-CN"/>
        </w:rPr>
        <w:t>8</w:t>
      </w:r>
      <w:r>
        <w:rPr>
          <w:rFonts w:hint="eastAsia" w:ascii="仿宋_GB2312" w:hAnsi="仿宋_GB2312" w:eastAsia="仿宋_GB2312" w:cs="仿宋_GB2312"/>
          <w:b w:val="0"/>
          <w:bCs w:val="0"/>
          <w:color w:val="auto"/>
          <w:sz w:val="32"/>
          <w:szCs w:val="32"/>
          <w:highlight w:val="none"/>
          <w:u w:val="none"/>
          <w:lang w:val="en-US" w:eastAsia="zh-CN"/>
        </w:rPr>
        <w:t>月</w:t>
      </w:r>
      <w:r>
        <w:rPr>
          <w:rFonts w:hint="eastAsia" w:ascii="仿宋_GB2312" w:hAnsi="仿宋_GB2312" w:eastAsia="仿宋_GB2312" w:cs="仿宋_GB2312"/>
          <w:b w:val="0"/>
          <w:bCs w:val="0"/>
          <w:color w:val="auto"/>
          <w:sz w:val="32"/>
          <w:szCs w:val="32"/>
          <w:highlight w:val="none"/>
          <w:u w:val="none"/>
          <w:lang w:eastAsia="zh-CN"/>
        </w:rPr>
        <w:t>5</w:t>
      </w:r>
      <w:r>
        <w:rPr>
          <w:rFonts w:hint="eastAsia" w:ascii="仿宋_GB2312" w:hAnsi="仿宋_GB2312" w:eastAsia="仿宋_GB2312" w:cs="仿宋_GB2312"/>
          <w:b w:val="0"/>
          <w:bCs w:val="0"/>
          <w:color w:val="auto"/>
          <w:sz w:val="32"/>
          <w:szCs w:val="32"/>
          <w:highlight w:val="none"/>
          <w:u w:val="none"/>
          <w:lang w:val="en-US" w:eastAsia="zh-CN"/>
        </w:rPr>
        <w:t>日—</w:t>
      </w:r>
      <w:r>
        <w:rPr>
          <w:rFonts w:hint="eastAsia" w:ascii="仿宋_GB2312" w:hAnsi="仿宋_GB2312" w:eastAsia="仿宋_GB2312" w:cs="仿宋_GB2312"/>
          <w:b w:val="0"/>
          <w:bCs w:val="0"/>
          <w:color w:val="auto"/>
          <w:sz w:val="32"/>
          <w:szCs w:val="32"/>
          <w:highlight w:val="none"/>
          <w:u w:val="none"/>
          <w:lang w:eastAsia="zh-CN"/>
        </w:rPr>
        <w:t>10</w:t>
      </w:r>
      <w:r>
        <w:rPr>
          <w:rFonts w:hint="eastAsia" w:ascii="仿宋_GB2312" w:hAnsi="仿宋_GB2312" w:eastAsia="仿宋_GB2312" w:cs="仿宋_GB2312"/>
          <w:b w:val="0"/>
          <w:bCs w:val="0"/>
          <w:color w:val="auto"/>
          <w:sz w:val="32"/>
          <w:szCs w:val="32"/>
          <w:highlight w:val="none"/>
          <w:u w:val="none"/>
          <w:lang w:val="en-US" w:eastAsia="zh-CN"/>
        </w:rPr>
        <w:t>月</w:t>
      </w:r>
      <w:r>
        <w:rPr>
          <w:rFonts w:hint="eastAsia" w:ascii="仿宋_GB2312" w:hAnsi="仿宋_GB2312" w:eastAsia="仿宋_GB2312" w:cs="仿宋_GB2312"/>
          <w:b w:val="0"/>
          <w:bCs w:val="0"/>
          <w:color w:val="auto"/>
          <w:sz w:val="32"/>
          <w:szCs w:val="32"/>
          <w:highlight w:val="none"/>
          <w:u w:val="none"/>
          <w:lang w:eastAsia="zh-CN"/>
        </w:rPr>
        <w:t>15</w:t>
      </w:r>
      <w:r>
        <w:rPr>
          <w:rFonts w:hint="eastAsia" w:ascii="仿宋_GB2312" w:hAnsi="仿宋_GB2312" w:eastAsia="仿宋_GB2312" w:cs="仿宋_GB2312"/>
          <w:b w:val="0"/>
          <w:bCs w:val="0"/>
          <w:color w:val="auto"/>
          <w:sz w:val="32"/>
          <w:szCs w:val="32"/>
          <w:highlight w:val="none"/>
          <w:u w:val="none"/>
          <w:lang w:val="en-US" w:eastAsia="zh-CN"/>
        </w:rPr>
        <w:t>日完成</w:t>
      </w:r>
      <w:r>
        <w:rPr>
          <w:rFonts w:hint="eastAsia" w:ascii="仿宋_GB2312" w:hAnsi="仿宋_GB2312" w:eastAsia="仿宋_GB2312" w:cs="仿宋_GB2312"/>
          <w:b w:val="0"/>
          <w:bCs w:val="0"/>
          <w:color w:val="auto"/>
          <w:sz w:val="32"/>
          <w:szCs w:val="32"/>
          <w:highlight w:val="none"/>
          <w:u w:val="none"/>
          <w:lang w:val="en-US" w:eastAsia="zh-Hans"/>
        </w:rPr>
        <w:t>新增库容</w:t>
      </w:r>
      <w:r>
        <w:rPr>
          <w:rFonts w:hint="eastAsia" w:ascii="仿宋_GB2312" w:hAnsi="仿宋_GB2312" w:eastAsia="仿宋_GB2312" w:cs="仿宋_GB2312"/>
          <w:b w:val="0"/>
          <w:bCs w:val="0"/>
          <w:color w:val="auto"/>
          <w:sz w:val="32"/>
          <w:szCs w:val="32"/>
          <w:highlight w:val="none"/>
          <w:u w:val="none"/>
          <w:lang w:eastAsia="zh-Hans"/>
        </w:rPr>
        <w:t>5400</w:t>
      </w:r>
      <w:r>
        <w:rPr>
          <w:rFonts w:hint="eastAsia" w:ascii="仿宋_GB2312" w:hAnsi="仿宋_GB2312" w:eastAsia="仿宋_GB2312" w:cs="仿宋_GB2312"/>
          <w:b w:val="0"/>
          <w:bCs w:val="0"/>
          <w:color w:val="auto"/>
          <w:sz w:val="32"/>
          <w:szCs w:val="32"/>
          <w:highlight w:val="none"/>
          <w:u w:val="none"/>
          <w:lang w:val="en-US" w:eastAsia="zh-Hans"/>
        </w:rPr>
        <w:t>m</w:t>
      </w:r>
      <w:r>
        <w:rPr>
          <w:rFonts w:hint="eastAsia" w:ascii="仿宋_GB2312" w:hAnsi="仿宋_GB2312" w:eastAsia="仿宋_GB2312" w:cs="仿宋_GB2312"/>
          <w:b w:val="0"/>
          <w:bCs w:val="0"/>
          <w:color w:val="auto"/>
          <w:sz w:val="32"/>
          <w:szCs w:val="32"/>
          <w:u w:val="none"/>
          <w:lang w:val="en-US" w:eastAsia="zh-CN"/>
        </w:rPr>
        <w:t>³</w:t>
      </w:r>
      <w:r>
        <w:rPr>
          <w:rFonts w:hint="eastAsia" w:ascii="仿宋_GB2312" w:hAnsi="仿宋_GB2312" w:eastAsia="仿宋_GB2312" w:cs="仿宋_GB2312"/>
          <w:b w:val="0"/>
          <w:bCs w:val="0"/>
          <w:color w:val="auto"/>
          <w:sz w:val="32"/>
          <w:szCs w:val="32"/>
          <w:u w:val="none"/>
          <w:lang w:val="en-US" w:eastAsia="zh-Hans"/>
        </w:rPr>
        <w:t>低温</w:t>
      </w:r>
      <w:r>
        <w:rPr>
          <w:rFonts w:hint="eastAsia" w:ascii="仿宋_GB2312" w:hAnsi="仿宋_GB2312" w:eastAsia="仿宋_GB2312" w:cs="仿宋_GB2312"/>
          <w:b w:val="0"/>
          <w:bCs w:val="0"/>
          <w:color w:val="auto"/>
          <w:sz w:val="32"/>
          <w:szCs w:val="32"/>
          <w:highlight w:val="none"/>
          <w:u w:val="none"/>
          <w:lang w:val="en-US" w:eastAsia="zh-CN"/>
        </w:rPr>
        <w:t>冷库</w:t>
      </w:r>
      <w:r>
        <w:rPr>
          <w:rFonts w:hint="eastAsia" w:ascii="仿宋_GB2312" w:hAnsi="仿宋_GB2312" w:eastAsia="仿宋_GB2312" w:cs="仿宋_GB2312"/>
          <w:b w:val="0"/>
          <w:bCs w:val="0"/>
          <w:color w:val="auto"/>
          <w:sz w:val="32"/>
          <w:szCs w:val="32"/>
          <w:highlight w:val="none"/>
          <w:u w:val="none"/>
          <w:lang w:eastAsia="zh-CN"/>
        </w:rPr>
        <w:t>1</w:t>
      </w:r>
      <w:r>
        <w:rPr>
          <w:rFonts w:hint="eastAsia" w:ascii="仿宋_GB2312" w:hAnsi="仿宋_GB2312" w:eastAsia="仿宋_GB2312" w:cs="仿宋_GB2312"/>
          <w:b w:val="0"/>
          <w:bCs w:val="0"/>
          <w:color w:val="auto"/>
          <w:sz w:val="32"/>
          <w:szCs w:val="32"/>
          <w:highlight w:val="none"/>
          <w:u w:val="none"/>
          <w:lang w:val="en-US" w:eastAsia="zh-Hans"/>
        </w:rPr>
        <w:t>处</w:t>
      </w:r>
      <w:r>
        <w:rPr>
          <w:rFonts w:hint="eastAsia" w:ascii="仿宋_GB2312" w:hAnsi="仿宋_GB2312" w:eastAsia="仿宋_GB2312" w:cs="仿宋_GB2312"/>
          <w:b w:val="0"/>
          <w:bCs w:val="0"/>
          <w:color w:val="auto"/>
          <w:sz w:val="32"/>
          <w:szCs w:val="32"/>
          <w:highlight w:val="none"/>
          <w:u w:val="none"/>
          <w:lang w:eastAsia="zh-Hans"/>
        </w:rPr>
        <w:t>（</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22℃</w:t>
      </w:r>
      <w:r>
        <w:rPr>
          <w:rFonts w:hint="eastAsia" w:ascii="仿宋_GB2312" w:hAnsi="仿宋_GB2312" w:eastAsia="仿宋_GB2312" w:cs="仿宋_GB2312"/>
          <w:b w:val="0"/>
          <w:bCs w:val="0"/>
          <w:color w:val="auto"/>
          <w:sz w:val="32"/>
          <w:szCs w:val="32"/>
          <w:highlight w:val="none"/>
          <w:u w:val="none"/>
          <w:lang w:eastAsia="zh-Hans"/>
        </w:rPr>
        <w:t>）</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完成</w:t>
      </w:r>
      <w:r>
        <w:rPr>
          <w:rFonts w:hint="eastAsia" w:ascii="仿宋_GB2312" w:hAnsi="仿宋_GB2312" w:eastAsia="仿宋_GB2312" w:cs="仿宋_GB2312"/>
          <w:b w:val="0"/>
          <w:bCs w:val="0"/>
          <w:color w:val="auto"/>
          <w:sz w:val="32"/>
          <w:szCs w:val="32"/>
          <w:highlight w:val="none"/>
          <w:u w:val="none"/>
          <w:lang w:eastAsia="zh-CN"/>
        </w:rPr>
        <w:t>投资1550</w:t>
      </w:r>
      <w:r>
        <w:rPr>
          <w:rFonts w:hint="eastAsia" w:ascii="仿宋_GB2312" w:hAnsi="仿宋_GB2312" w:eastAsia="仿宋_GB2312" w:cs="仿宋_GB2312"/>
          <w:b w:val="0"/>
          <w:bCs w:val="0"/>
          <w:color w:val="auto"/>
          <w:sz w:val="32"/>
          <w:szCs w:val="32"/>
          <w:highlight w:val="none"/>
          <w:u w:val="none"/>
          <w:lang w:val="en-US" w:eastAsia="zh-CN"/>
        </w:rPr>
        <w:t>万元</w:t>
      </w:r>
      <w:r>
        <w:rPr>
          <w:rFonts w:hint="eastAsia" w:ascii="仿宋_GB2312" w:hAnsi="仿宋_GB2312" w:eastAsia="仿宋_GB2312" w:cs="仿宋_GB2312"/>
          <w:b w:val="0"/>
          <w:bCs w:val="0"/>
          <w:color w:val="auto"/>
          <w:sz w:val="32"/>
          <w:szCs w:val="32"/>
          <w:highlight w:val="none"/>
          <w:u w:val="none"/>
          <w:lang w:eastAsia="zh-CN"/>
        </w:rPr>
        <w:t>；</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Hans"/>
        </w:rPr>
      </w:pPr>
      <w:r>
        <w:rPr>
          <w:rFonts w:hint="eastAsia" w:ascii="仿宋_GB2312" w:hAnsi="仿宋_GB2312" w:eastAsia="仿宋_GB2312" w:cs="仿宋_GB2312"/>
          <w:b w:val="0"/>
          <w:bCs w:val="0"/>
          <w:color w:val="auto"/>
          <w:sz w:val="32"/>
          <w:szCs w:val="32"/>
          <w:highlight w:val="none"/>
          <w:u w:val="none"/>
          <w:lang w:eastAsia="zh-CN"/>
        </w:rPr>
        <w:t>5</w:t>
      </w:r>
      <w:r>
        <w:rPr>
          <w:rFonts w:hint="eastAsia" w:ascii="仿宋_GB2312" w:hAnsi="仿宋_GB2312" w:eastAsia="仿宋_GB2312" w:cs="仿宋_GB2312"/>
          <w:b w:val="0"/>
          <w:bCs w:val="0"/>
          <w:color w:val="auto"/>
          <w:sz w:val="32"/>
          <w:szCs w:val="32"/>
          <w:highlight w:val="none"/>
          <w:u w:val="none"/>
          <w:lang w:val="en-US" w:eastAsia="zh-CN"/>
        </w:rPr>
        <w:t>.2023年</w:t>
      </w:r>
      <w:r>
        <w:rPr>
          <w:rFonts w:hint="eastAsia" w:ascii="仿宋_GB2312" w:hAnsi="仿宋_GB2312" w:eastAsia="仿宋_GB2312" w:cs="仿宋_GB2312"/>
          <w:b w:val="0"/>
          <w:bCs w:val="0"/>
          <w:color w:val="auto"/>
          <w:sz w:val="32"/>
          <w:szCs w:val="32"/>
          <w:highlight w:val="none"/>
          <w:u w:val="none"/>
          <w:lang w:eastAsia="zh-CN"/>
        </w:rPr>
        <w:t>10</w:t>
      </w:r>
      <w:r>
        <w:rPr>
          <w:rFonts w:hint="eastAsia" w:ascii="仿宋_GB2312" w:hAnsi="仿宋_GB2312" w:eastAsia="仿宋_GB2312" w:cs="仿宋_GB2312"/>
          <w:b w:val="0"/>
          <w:bCs w:val="0"/>
          <w:color w:val="auto"/>
          <w:sz w:val="32"/>
          <w:szCs w:val="32"/>
          <w:highlight w:val="none"/>
          <w:u w:val="none"/>
          <w:lang w:val="en-US" w:eastAsia="zh-CN"/>
        </w:rPr>
        <w:t>月</w:t>
      </w:r>
      <w:r>
        <w:rPr>
          <w:rFonts w:hint="eastAsia" w:ascii="仿宋_GB2312" w:hAnsi="仿宋_GB2312" w:eastAsia="仿宋_GB2312" w:cs="仿宋_GB2312"/>
          <w:b w:val="0"/>
          <w:bCs w:val="0"/>
          <w:color w:val="auto"/>
          <w:sz w:val="32"/>
          <w:szCs w:val="32"/>
          <w:highlight w:val="none"/>
          <w:u w:val="none"/>
          <w:lang w:eastAsia="zh-CN"/>
        </w:rPr>
        <w:t>1</w:t>
      </w:r>
      <w:r>
        <w:rPr>
          <w:rFonts w:hint="eastAsia" w:ascii="仿宋_GB2312" w:hAnsi="仿宋_GB2312" w:eastAsia="仿宋_GB2312" w:cs="仿宋_GB2312"/>
          <w:b w:val="0"/>
          <w:bCs w:val="0"/>
          <w:color w:val="auto"/>
          <w:sz w:val="32"/>
          <w:szCs w:val="32"/>
          <w:highlight w:val="none"/>
          <w:u w:val="none"/>
          <w:lang w:val="en-US" w:eastAsia="zh-CN"/>
        </w:rPr>
        <w:t>日—1</w:t>
      </w:r>
      <w:r>
        <w:rPr>
          <w:rFonts w:hint="eastAsia" w:ascii="仿宋_GB2312" w:hAnsi="仿宋_GB2312" w:eastAsia="仿宋_GB2312" w:cs="仿宋_GB2312"/>
          <w:b w:val="0"/>
          <w:bCs w:val="0"/>
          <w:color w:val="auto"/>
          <w:sz w:val="32"/>
          <w:szCs w:val="32"/>
          <w:highlight w:val="none"/>
          <w:u w:val="none"/>
          <w:lang w:eastAsia="zh-CN"/>
        </w:rPr>
        <w:t>1</w:t>
      </w:r>
      <w:r>
        <w:rPr>
          <w:rFonts w:hint="eastAsia" w:ascii="仿宋_GB2312" w:hAnsi="仿宋_GB2312" w:eastAsia="仿宋_GB2312" w:cs="仿宋_GB2312"/>
          <w:b w:val="0"/>
          <w:bCs w:val="0"/>
          <w:color w:val="auto"/>
          <w:sz w:val="32"/>
          <w:szCs w:val="32"/>
          <w:highlight w:val="none"/>
          <w:u w:val="none"/>
          <w:lang w:val="en-US" w:eastAsia="zh-CN"/>
        </w:rPr>
        <w:t>月3</w:t>
      </w:r>
      <w:r>
        <w:rPr>
          <w:rFonts w:hint="eastAsia" w:ascii="仿宋_GB2312" w:hAnsi="仿宋_GB2312" w:eastAsia="仿宋_GB2312" w:cs="仿宋_GB2312"/>
          <w:b w:val="0"/>
          <w:bCs w:val="0"/>
          <w:color w:val="auto"/>
          <w:sz w:val="32"/>
          <w:szCs w:val="32"/>
          <w:highlight w:val="none"/>
          <w:u w:val="none"/>
          <w:lang w:eastAsia="zh-CN"/>
        </w:rPr>
        <w:t>0</w:t>
      </w:r>
      <w:r>
        <w:rPr>
          <w:rFonts w:hint="eastAsia" w:ascii="仿宋_GB2312" w:hAnsi="仿宋_GB2312" w:eastAsia="仿宋_GB2312" w:cs="仿宋_GB2312"/>
          <w:b w:val="0"/>
          <w:bCs w:val="0"/>
          <w:color w:val="auto"/>
          <w:sz w:val="32"/>
          <w:szCs w:val="32"/>
          <w:highlight w:val="none"/>
          <w:u w:val="none"/>
          <w:lang w:val="en-US" w:eastAsia="zh-CN"/>
        </w:rPr>
        <w:t>日完成</w:t>
      </w:r>
      <w:r>
        <w:rPr>
          <w:rFonts w:hint="eastAsia" w:ascii="仿宋_GB2312" w:hAnsi="仿宋_GB2312" w:eastAsia="仿宋_GB2312" w:cs="仿宋_GB2312"/>
          <w:b w:val="0"/>
          <w:bCs w:val="0"/>
          <w:color w:val="auto"/>
          <w:sz w:val="32"/>
          <w:szCs w:val="32"/>
          <w:highlight w:val="none"/>
          <w:u w:val="none"/>
          <w:lang w:val="en-US" w:eastAsia="zh-Hans"/>
        </w:rPr>
        <w:t>新增低温冷藏运输车</w:t>
      </w:r>
      <w:r>
        <w:rPr>
          <w:rFonts w:hint="eastAsia" w:ascii="仿宋_GB2312" w:hAnsi="仿宋_GB2312" w:eastAsia="仿宋_GB2312" w:cs="仿宋_GB2312"/>
          <w:b w:val="0"/>
          <w:bCs w:val="0"/>
          <w:color w:val="auto"/>
          <w:sz w:val="32"/>
          <w:szCs w:val="32"/>
          <w:highlight w:val="none"/>
          <w:u w:val="none"/>
          <w:lang w:eastAsia="zh-Hans"/>
        </w:rPr>
        <w:t>1</w:t>
      </w:r>
      <w:r>
        <w:rPr>
          <w:rFonts w:hint="eastAsia" w:ascii="仿宋_GB2312" w:hAnsi="仿宋_GB2312" w:eastAsia="仿宋_GB2312" w:cs="仿宋_GB2312"/>
          <w:b w:val="0"/>
          <w:bCs w:val="0"/>
          <w:color w:val="auto"/>
          <w:sz w:val="32"/>
          <w:szCs w:val="32"/>
          <w:highlight w:val="none"/>
          <w:u w:val="none"/>
          <w:lang w:val="en-US" w:eastAsia="zh-Hans"/>
        </w:rPr>
        <w:t>辆</w:t>
      </w:r>
      <w:r>
        <w:rPr>
          <w:rFonts w:hint="eastAsia" w:ascii="仿宋_GB2312" w:hAnsi="仿宋_GB2312" w:eastAsia="仿宋_GB2312" w:cs="仿宋_GB2312"/>
          <w:b w:val="0"/>
          <w:bCs w:val="0"/>
          <w:color w:val="auto"/>
          <w:sz w:val="32"/>
          <w:szCs w:val="32"/>
          <w:highlight w:val="none"/>
          <w:u w:val="none"/>
          <w:lang w:eastAsia="zh-Hans"/>
        </w:rPr>
        <w:t>、</w:t>
      </w:r>
      <w:r>
        <w:rPr>
          <w:rFonts w:hint="eastAsia" w:ascii="仿宋_GB2312" w:hAnsi="仿宋_GB2312" w:eastAsia="仿宋_GB2312" w:cs="仿宋_GB2312"/>
          <w:b w:val="0"/>
          <w:bCs w:val="0"/>
          <w:color w:val="auto"/>
          <w:sz w:val="32"/>
          <w:szCs w:val="32"/>
          <w:highlight w:val="none"/>
          <w:u w:val="none"/>
          <w:lang w:val="en-US" w:eastAsia="zh-Hans"/>
        </w:rPr>
        <w:t>新增低温冷库专用叉车</w:t>
      </w:r>
      <w:r>
        <w:rPr>
          <w:rFonts w:hint="eastAsia" w:ascii="仿宋_GB2312" w:hAnsi="仿宋_GB2312" w:eastAsia="仿宋_GB2312" w:cs="仿宋_GB2312"/>
          <w:b w:val="0"/>
          <w:bCs w:val="0"/>
          <w:color w:val="auto"/>
          <w:sz w:val="32"/>
          <w:szCs w:val="32"/>
          <w:highlight w:val="none"/>
          <w:u w:val="none"/>
          <w:lang w:eastAsia="zh-Hans"/>
        </w:rPr>
        <w:t>4</w:t>
      </w:r>
      <w:r>
        <w:rPr>
          <w:rFonts w:hint="eastAsia" w:ascii="仿宋_GB2312" w:hAnsi="仿宋_GB2312" w:eastAsia="仿宋_GB2312" w:cs="仿宋_GB2312"/>
          <w:b w:val="0"/>
          <w:bCs w:val="0"/>
          <w:color w:val="auto"/>
          <w:sz w:val="32"/>
          <w:szCs w:val="32"/>
          <w:highlight w:val="none"/>
          <w:u w:val="none"/>
          <w:lang w:val="en-US" w:eastAsia="zh-Hans"/>
        </w:rPr>
        <w:t>辆</w:t>
      </w:r>
      <w:r>
        <w:rPr>
          <w:rFonts w:hint="eastAsia" w:ascii="仿宋_GB2312" w:hAnsi="仿宋_GB2312" w:eastAsia="仿宋_GB2312" w:cs="仿宋_GB2312"/>
          <w:b w:val="0"/>
          <w:bCs w:val="0"/>
          <w:color w:val="auto"/>
          <w:sz w:val="32"/>
          <w:szCs w:val="32"/>
          <w:highlight w:val="none"/>
          <w:u w:val="none"/>
          <w:lang w:eastAsia="zh-Hans"/>
        </w:rPr>
        <w:t>，</w:t>
      </w:r>
      <w:r>
        <w:rPr>
          <w:rFonts w:hint="eastAsia" w:ascii="仿宋_GB2312" w:hAnsi="仿宋_GB2312" w:eastAsia="仿宋_GB2312" w:cs="仿宋_GB2312"/>
          <w:b w:val="0"/>
          <w:bCs w:val="0"/>
          <w:color w:val="auto"/>
          <w:sz w:val="32"/>
          <w:szCs w:val="32"/>
          <w:highlight w:val="none"/>
          <w:u w:val="none"/>
          <w:lang w:eastAsia="zh-CN"/>
        </w:rPr>
        <w:t>完成</w:t>
      </w:r>
      <w:r>
        <w:rPr>
          <w:rFonts w:hint="eastAsia" w:ascii="仿宋_GB2312" w:hAnsi="仿宋_GB2312" w:eastAsia="仿宋_GB2312" w:cs="仿宋_GB2312"/>
          <w:b w:val="0"/>
          <w:bCs w:val="0"/>
          <w:color w:val="auto"/>
          <w:sz w:val="32"/>
          <w:szCs w:val="32"/>
          <w:highlight w:val="none"/>
          <w:u w:val="none"/>
          <w:lang w:val="en-US" w:eastAsia="zh-Hans"/>
        </w:rPr>
        <w:t>投资</w:t>
      </w:r>
      <w:r>
        <w:rPr>
          <w:rFonts w:hint="eastAsia" w:ascii="仿宋_GB2312" w:hAnsi="仿宋_GB2312" w:eastAsia="仿宋_GB2312" w:cs="仿宋_GB2312"/>
          <w:b w:val="0"/>
          <w:bCs w:val="0"/>
          <w:color w:val="auto"/>
          <w:sz w:val="32"/>
          <w:szCs w:val="32"/>
          <w:highlight w:val="none"/>
          <w:u w:val="none"/>
          <w:lang w:eastAsia="zh-Hans"/>
        </w:rPr>
        <w:t>200</w:t>
      </w:r>
      <w:r>
        <w:rPr>
          <w:rFonts w:hint="eastAsia" w:ascii="仿宋_GB2312" w:hAnsi="仿宋_GB2312" w:eastAsia="仿宋_GB2312" w:cs="仿宋_GB2312"/>
          <w:b w:val="0"/>
          <w:bCs w:val="0"/>
          <w:color w:val="auto"/>
          <w:sz w:val="32"/>
          <w:szCs w:val="32"/>
          <w:highlight w:val="none"/>
          <w:u w:val="none"/>
          <w:lang w:val="en-US" w:eastAsia="zh-Hans"/>
        </w:rPr>
        <w:t>万元</w:t>
      </w:r>
      <w:r>
        <w:rPr>
          <w:rFonts w:hint="eastAsia" w:ascii="仿宋_GB2312" w:hAnsi="仿宋_GB2312" w:eastAsia="仿宋_GB2312" w:cs="仿宋_GB2312"/>
          <w:b w:val="0"/>
          <w:bCs w:val="0"/>
          <w:color w:val="auto"/>
          <w:sz w:val="32"/>
          <w:szCs w:val="32"/>
          <w:highlight w:val="none"/>
          <w:u w:val="none"/>
          <w:lang w:eastAsia="zh-Hans"/>
        </w:rPr>
        <w:t>；</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eastAsia="zh-CN"/>
        </w:rPr>
        <w:t>6</w:t>
      </w:r>
      <w:r>
        <w:rPr>
          <w:rFonts w:hint="eastAsia" w:ascii="仿宋_GB2312" w:hAnsi="仿宋_GB2312" w:eastAsia="仿宋_GB2312" w:cs="仿宋_GB2312"/>
          <w:b w:val="0"/>
          <w:bCs w:val="0"/>
          <w:color w:val="auto"/>
          <w:sz w:val="32"/>
          <w:szCs w:val="32"/>
          <w:highlight w:val="none"/>
          <w:u w:val="none"/>
          <w:lang w:val="en-US" w:eastAsia="zh-CN"/>
        </w:rPr>
        <w:t>.2023年</w:t>
      </w:r>
      <w:r>
        <w:rPr>
          <w:rFonts w:hint="eastAsia" w:ascii="仿宋_GB2312" w:hAnsi="仿宋_GB2312" w:eastAsia="仿宋_GB2312" w:cs="仿宋_GB2312"/>
          <w:b w:val="0"/>
          <w:bCs w:val="0"/>
          <w:color w:val="auto"/>
          <w:sz w:val="32"/>
          <w:szCs w:val="32"/>
          <w:highlight w:val="none"/>
          <w:u w:val="none"/>
          <w:lang w:eastAsia="zh-CN"/>
        </w:rPr>
        <w:t>10</w:t>
      </w:r>
      <w:r>
        <w:rPr>
          <w:rFonts w:hint="eastAsia" w:ascii="仿宋_GB2312" w:hAnsi="仿宋_GB2312" w:eastAsia="仿宋_GB2312" w:cs="仿宋_GB2312"/>
          <w:b w:val="0"/>
          <w:bCs w:val="0"/>
          <w:color w:val="auto"/>
          <w:sz w:val="32"/>
          <w:szCs w:val="32"/>
          <w:highlight w:val="none"/>
          <w:u w:val="none"/>
          <w:lang w:val="en-US" w:eastAsia="zh-CN"/>
        </w:rPr>
        <w:t>月</w:t>
      </w:r>
      <w:r>
        <w:rPr>
          <w:rFonts w:hint="eastAsia" w:ascii="仿宋_GB2312" w:hAnsi="仿宋_GB2312" w:eastAsia="仿宋_GB2312" w:cs="仿宋_GB2312"/>
          <w:b w:val="0"/>
          <w:bCs w:val="0"/>
          <w:color w:val="auto"/>
          <w:sz w:val="32"/>
          <w:szCs w:val="32"/>
          <w:highlight w:val="none"/>
          <w:u w:val="none"/>
          <w:lang w:eastAsia="zh-CN"/>
        </w:rPr>
        <w:t>15</w:t>
      </w:r>
      <w:r>
        <w:rPr>
          <w:rFonts w:hint="eastAsia" w:ascii="仿宋_GB2312" w:hAnsi="仿宋_GB2312" w:eastAsia="仿宋_GB2312" w:cs="仿宋_GB2312"/>
          <w:b w:val="0"/>
          <w:bCs w:val="0"/>
          <w:color w:val="auto"/>
          <w:sz w:val="32"/>
          <w:szCs w:val="32"/>
          <w:highlight w:val="none"/>
          <w:u w:val="none"/>
          <w:lang w:val="en-US" w:eastAsia="zh-Hans"/>
        </w:rPr>
        <w:t>日</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eastAsia="zh-CN"/>
        </w:rPr>
        <w:t>12</w:t>
      </w:r>
      <w:r>
        <w:rPr>
          <w:rFonts w:hint="eastAsia" w:ascii="仿宋_GB2312" w:hAnsi="仿宋_GB2312" w:eastAsia="仿宋_GB2312" w:cs="仿宋_GB2312"/>
          <w:b w:val="0"/>
          <w:bCs w:val="0"/>
          <w:color w:val="auto"/>
          <w:sz w:val="32"/>
          <w:szCs w:val="32"/>
          <w:highlight w:val="none"/>
          <w:u w:val="none"/>
          <w:lang w:val="en-US" w:eastAsia="zh-CN"/>
        </w:rPr>
        <w:t>月</w:t>
      </w:r>
      <w:r>
        <w:rPr>
          <w:rFonts w:hint="eastAsia" w:ascii="仿宋_GB2312" w:hAnsi="仿宋_GB2312" w:eastAsia="仿宋_GB2312" w:cs="仿宋_GB2312"/>
          <w:b w:val="0"/>
          <w:bCs w:val="0"/>
          <w:color w:val="auto"/>
          <w:sz w:val="32"/>
          <w:szCs w:val="32"/>
          <w:highlight w:val="none"/>
          <w:u w:val="none"/>
          <w:lang w:eastAsia="zh-CN"/>
        </w:rPr>
        <w:t>31</w:t>
      </w:r>
      <w:r>
        <w:rPr>
          <w:rFonts w:hint="eastAsia" w:ascii="仿宋_GB2312" w:hAnsi="仿宋_GB2312" w:eastAsia="仿宋_GB2312" w:cs="仿宋_GB2312"/>
          <w:b w:val="0"/>
          <w:bCs w:val="0"/>
          <w:color w:val="auto"/>
          <w:sz w:val="32"/>
          <w:szCs w:val="32"/>
          <w:highlight w:val="none"/>
          <w:u w:val="none"/>
          <w:lang w:val="en-US" w:eastAsia="zh-CN"/>
        </w:rPr>
        <w:t>日完成</w:t>
      </w:r>
      <w:r>
        <w:rPr>
          <w:rFonts w:hint="eastAsia" w:ascii="仿宋_GB2312" w:hAnsi="仿宋_GB2312" w:eastAsia="仿宋_GB2312" w:cs="仿宋_GB2312"/>
          <w:b w:val="0"/>
          <w:bCs w:val="0"/>
          <w:color w:val="auto"/>
          <w:sz w:val="32"/>
          <w:szCs w:val="32"/>
          <w:highlight w:val="none"/>
          <w:u w:val="none"/>
          <w:lang w:val="en-US" w:eastAsia="zh-Hans"/>
        </w:rPr>
        <w:t>新增低温冷库专用立体货架</w:t>
      </w:r>
      <w:r>
        <w:rPr>
          <w:rFonts w:hint="eastAsia" w:ascii="仿宋_GB2312" w:hAnsi="仿宋_GB2312" w:eastAsia="仿宋_GB2312" w:cs="仿宋_GB2312"/>
          <w:b w:val="0"/>
          <w:bCs w:val="0"/>
          <w:color w:val="auto"/>
          <w:sz w:val="32"/>
          <w:szCs w:val="32"/>
          <w:highlight w:val="none"/>
          <w:u w:val="none"/>
          <w:lang w:eastAsia="zh-Hans"/>
        </w:rPr>
        <w:t>2000</w:t>
      </w:r>
      <w:r>
        <w:rPr>
          <w:rFonts w:hint="eastAsia" w:ascii="仿宋_GB2312" w:hAnsi="仿宋_GB2312" w:eastAsia="仿宋_GB2312" w:cs="仿宋_GB2312"/>
          <w:b w:val="0"/>
          <w:bCs w:val="0"/>
          <w:color w:val="auto"/>
          <w:sz w:val="32"/>
          <w:szCs w:val="32"/>
          <w:highlight w:val="none"/>
          <w:u w:val="none"/>
          <w:lang w:val="en-US" w:eastAsia="zh-Hans"/>
        </w:rPr>
        <w:t>组</w:t>
      </w:r>
      <w:r>
        <w:rPr>
          <w:rFonts w:hint="eastAsia" w:ascii="仿宋_GB2312" w:hAnsi="仿宋_GB2312" w:eastAsia="仿宋_GB2312" w:cs="仿宋_GB2312"/>
          <w:b w:val="0"/>
          <w:bCs w:val="0"/>
          <w:color w:val="auto"/>
          <w:sz w:val="32"/>
          <w:szCs w:val="32"/>
          <w:highlight w:val="none"/>
          <w:u w:val="none"/>
          <w:lang w:eastAsia="zh-Hans"/>
        </w:rPr>
        <w:t>，</w:t>
      </w:r>
      <w:r>
        <w:rPr>
          <w:rFonts w:hint="eastAsia" w:ascii="仿宋_GB2312" w:hAnsi="仿宋_GB2312" w:eastAsia="仿宋_GB2312" w:cs="仿宋_GB2312"/>
          <w:b w:val="0"/>
          <w:bCs w:val="0"/>
          <w:color w:val="auto"/>
          <w:sz w:val="32"/>
          <w:szCs w:val="32"/>
          <w:highlight w:val="none"/>
          <w:u w:val="none"/>
          <w:lang w:eastAsia="zh-CN"/>
        </w:rPr>
        <w:t>完成</w:t>
      </w:r>
      <w:r>
        <w:rPr>
          <w:rFonts w:hint="eastAsia" w:ascii="仿宋_GB2312" w:hAnsi="仿宋_GB2312" w:eastAsia="仿宋_GB2312" w:cs="仿宋_GB2312"/>
          <w:b w:val="0"/>
          <w:bCs w:val="0"/>
          <w:color w:val="auto"/>
          <w:sz w:val="32"/>
          <w:szCs w:val="32"/>
          <w:highlight w:val="none"/>
          <w:u w:val="none"/>
          <w:lang w:val="en-US" w:eastAsia="zh-Hans"/>
        </w:rPr>
        <w:t>投资</w:t>
      </w:r>
      <w:r>
        <w:rPr>
          <w:rFonts w:hint="eastAsia" w:ascii="仿宋_GB2312" w:hAnsi="仿宋_GB2312" w:eastAsia="仿宋_GB2312" w:cs="仿宋_GB2312"/>
          <w:b w:val="0"/>
          <w:bCs w:val="0"/>
          <w:color w:val="auto"/>
          <w:sz w:val="32"/>
          <w:szCs w:val="32"/>
          <w:highlight w:val="none"/>
          <w:u w:val="none"/>
          <w:lang w:eastAsia="zh-Hans"/>
        </w:rPr>
        <w:t>1</w:t>
      </w: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lang w:eastAsia="zh-Hans"/>
        </w:rPr>
        <w:t>0</w:t>
      </w:r>
      <w:r>
        <w:rPr>
          <w:rFonts w:hint="eastAsia" w:ascii="仿宋_GB2312" w:hAnsi="仿宋_GB2312" w:eastAsia="仿宋_GB2312" w:cs="仿宋_GB2312"/>
          <w:b w:val="0"/>
          <w:bCs w:val="0"/>
          <w:color w:val="auto"/>
          <w:sz w:val="32"/>
          <w:szCs w:val="32"/>
          <w:highlight w:val="none"/>
          <w:u w:val="none"/>
          <w:lang w:val="en-US" w:eastAsia="zh-Hans"/>
        </w:rPr>
        <w:t>万元</w:t>
      </w:r>
      <w:r>
        <w:rPr>
          <w:rFonts w:hint="eastAsia" w:ascii="仿宋_GB2312" w:hAnsi="仿宋_GB2312" w:eastAsia="仿宋_GB2312" w:cs="仿宋_GB2312"/>
          <w:b w:val="0"/>
          <w:bCs w:val="0"/>
          <w:color w:val="auto"/>
          <w:sz w:val="32"/>
          <w:szCs w:val="32"/>
          <w:highlight w:val="none"/>
          <w:u w:val="none"/>
          <w:lang w:val="en-US" w:eastAsia="zh-CN"/>
        </w:rPr>
        <w:t>。</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（三）统筹支持农产品市场保供企业</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1.世纪华辰超市连锁有限公司铁力分公司</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2.世纪华辰超市连锁有限公司铁力第二分公司</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3.黑龙江凯玛特超市有限公司嘉荫分公司</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4.中国邮政集团有限公司伊春市分公司</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5.伊春汇源国际物流有限公司</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6.黑龙江省顺丰速运有限公司伊春分公司</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7.世纪华辰超市连锁有限公司伊春分公司</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8.黑龙江凯玛特超市有限公司</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kern w:val="2"/>
          <w:sz w:val="32"/>
          <w:szCs w:val="32"/>
          <w:highlight w:val="none"/>
          <w:lang w:val="en-US" w:eastAsia="zh-CN" w:bidi="ar-SA"/>
        </w:rPr>
        <w:t>以上8家2022年为伊春承担保供任务的企业，每家</w:t>
      </w:r>
      <w:r>
        <w:rPr>
          <w:rFonts w:hint="eastAsia" w:ascii="仿宋_GB2312" w:hAnsi="仿宋_GB2312" w:eastAsia="仿宋_GB2312" w:cs="仿宋_GB2312"/>
          <w:b w:val="0"/>
          <w:bCs w:val="0"/>
          <w:color w:val="auto"/>
          <w:sz w:val="32"/>
          <w:szCs w:val="32"/>
        </w:rPr>
        <w:t>支持</w:t>
      </w:r>
      <w:r>
        <w:rPr>
          <w:rFonts w:hint="eastAsia" w:ascii="仿宋_GB2312" w:hAnsi="仿宋_GB2312" w:eastAsia="仿宋_GB2312" w:cs="仿宋_GB2312"/>
          <w:b w:val="0"/>
          <w:bCs w:val="0"/>
          <w:color w:val="auto"/>
          <w:sz w:val="32"/>
          <w:szCs w:val="32"/>
          <w:lang w:val="en-US" w:eastAsia="zh-CN"/>
        </w:rPr>
        <w:t>25</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七、保障措施</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（一）加强组织领导。</w:t>
      </w:r>
      <w:r>
        <w:rPr>
          <w:rFonts w:hint="eastAsia" w:ascii="仿宋_GB2312" w:hAnsi="仿宋_GB2312" w:eastAsia="仿宋_GB2312" w:cs="仿宋_GB2312"/>
          <w:b w:val="0"/>
          <w:bCs w:val="0"/>
          <w:color w:val="auto"/>
          <w:sz w:val="32"/>
          <w:szCs w:val="32"/>
        </w:rPr>
        <w:t>进一步强化思想认识，提高政治站位，加强对农产品供应链体系建设的组织领导，指定专人负责，明确责任分工，形成工作合力，确保工作有序推进，确保工作质量。建立</w:t>
      </w:r>
      <w:r>
        <w:rPr>
          <w:rFonts w:hint="eastAsia" w:ascii="仿宋_GB2312" w:hAnsi="仿宋_GB2312" w:eastAsia="仿宋_GB2312" w:cs="仿宋_GB2312"/>
          <w:b w:val="0"/>
          <w:bCs w:val="0"/>
          <w:color w:val="auto"/>
          <w:sz w:val="32"/>
          <w:szCs w:val="32"/>
          <w:lang w:eastAsia="zh-CN"/>
        </w:rPr>
        <w:t>市</w:t>
      </w:r>
      <w:r>
        <w:rPr>
          <w:rFonts w:hint="eastAsia" w:ascii="仿宋_GB2312" w:hAnsi="仿宋_GB2312" w:eastAsia="仿宋_GB2312" w:cs="仿宋_GB2312"/>
          <w:b w:val="0"/>
          <w:bCs w:val="0"/>
          <w:color w:val="auto"/>
          <w:sz w:val="32"/>
          <w:szCs w:val="32"/>
        </w:rPr>
        <w:t>领导牵头、相关部门参与的工作推进协调机制，明确职责分工，确保责任到人。</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（二）做好信息工作。</w:t>
      </w:r>
      <w:r>
        <w:rPr>
          <w:rFonts w:hint="eastAsia" w:ascii="仿宋_GB2312" w:hAnsi="仿宋_GB2312" w:eastAsia="仿宋_GB2312" w:cs="仿宋_GB2312"/>
          <w:b w:val="0"/>
          <w:bCs w:val="0"/>
          <w:color w:val="auto"/>
          <w:sz w:val="32"/>
          <w:szCs w:val="32"/>
          <w:lang w:eastAsia="zh-CN"/>
        </w:rPr>
        <w:t>市商务局</w:t>
      </w:r>
      <w:r>
        <w:rPr>
          <w:rFonts w:hint="eastAsia" w:ascii="仿宋_GB2312" w:hAnsi="仿宋_GB2312" w:eastAsia="仿宋_GB2312" w:cs="仿宋_GB2312"/>
          <w:b w:val="0"/>
          <w:bCs w:val="0"/>
          <w:color w:val="auto"/>
          <w:sz w:val="32"/>
          <w:szCs w:val="32"/>
        </w:rPr>
        <w:t>在</w:t>
      </w:r>
      <w:r>
        <w:rPr>
          <w:rFonts w:hint="eastAsia" w:ascii="仿宋_GB2312" w:hAnsi="仿宋_GB2312" w:eastAsia="仿宋_GB2312" w:cs="仿宋_GB2312"/>
          <w:b w:val="0"/>
          <w:bCs w:val="0"/>
          <w:color w:val="auto"/>
          <w:sz w:val="32"/>
          <w:szCs w:val="32"/>
          <w:lang w:eastAsia="zh-CN"/>
        </w:rPr>
        <w:t>伊春市</w:t>
      </w:r>
      <w:r>
        <w:rPr>
          <w:rFonts w:hint="eastAsia" w:ascii="仿宋_GB2312" w:hAnsi="仿宋_GB2312" w:eastAsia="仿宋_GB2312" w:cs="仿宋_GB2312"/>
          <w:b w:val="0"/>
          <w:bCs w:val="0"/>
          <w:color w:val="auto"/>
          <w:sz w:val="32"/>
          <w:szCs w:val="32"/>
        </w:rPr>
        <w:t>政府</w:t>
      </w:r>
      <w:r>
        <w:rPr>
          <w:rFonts w:hint="eastAsia" w:ascii="仿宋_GB2312" w:hAnsi="仿宋_GB2312" w:eastAsia="仿宋_GB2312" w:cs="仿宋_GB2312"/>
          <w:b w:val="0"/>
          <w:bCs w:val="0"/>
          <w:color w:val="auto"/>
          <w:sz w:val="32"/>
          <w:szCs w:val="32"/>
          <w:lang w:eastAsia="zh-CN"/>
        </w:rPr>
        <w:t>网站</w:t>
      </w:r>
      <w:r>
        <w:rPr>
          <w:rFonts w:hint="eastAsia" w:ascii="仿宋_GB2312" w:hAnsi="仿宋_GB2312" w:eastAsia="仿宋_GB2312" w:cs="仿宋_GB2312"/>
          <w:b w:val="0"/>
          <w:bCs w:val="0"/>
          <w:color w:val="auto"/>
          <w:sz w:val="32"/>
          <w:szCs w:val="32"/>
        </w:rPr>
        <w:t>设立“农产品供应链建设”专栏，主动公开实施方案、项目清单及资金分配方案等相关信息。凡接受财政补贴的企业，必须按要求填报项目相关信息数据和日常经营数据，各级主管部门依法保护信息安全。</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（三）严肃工作纪律。</w:t>
      </w:r>
      <w:r>
        <w:rPr>
          <w:rFonts w:hint="eastAsia" w:ascii="仿宋_GB2312" w:hAnsi="仿宋_GB2312" w:eastAsia="仿宋_GB2312" w:cs="仿宋_GB2312"/>
          <w:b w:val="0"/>
          <w:bCs w:val="0"/>
          <w:color w:val="auto"/>
          <w:sz w:val="32"/>
          <w:szCs w:val="32"/>
        </w:rPr>
        <w:t>制定的实施方案是项目组织实施过程中的重要依据，涉及内容不得轻易变更。确需变更项目清单、项目建设内容及资金分配方案的，务必在确保试点地区目标任务不变、下达中央财政资金足额使用的前提下，经</w:t>
      </w:r>
      <w:r>
        <w:rPr>
          <w:rFonts w:hint="eastAsia" w:ascii="仿宋_GB2312" w:hAnsi="仿宋_GB2312" w:eastAsia="仿宋_GB2312" w:cs="仿宋_GB2312"/>
          <w:b w:val="0"/>
          <w:bCs w:val="0"/>
          <w:color w:val="auto"/>
          <w:sz w:val="32"/>
          <w:szCs w:val="32"/>
          <w:lang w:eastAsia="zh-CN"/>
        </w:rPr>
        <w:t>市商务局</w:t>
      </w:r>
      <w:r>
        <w:rPr>
          <w:rFonts w:hint="eastAsia" w:ascii="仿宋_GB2312" w:hAnsi="仿宋_GB2312" w:eastAsia="仿宋_GB2312" w:cs="仿宋_GB2312"/>
          <w:b w:val="0"/>
          <w:bCs w:val="0"/>
          <w:color w:val="auto"/>
          <w:sz w:val="32"/>
          <w:szCs w:val="32"/>
        </w:rPr>
        <w:t>研究同意且对外公示无异议后进行变更，变更内容需呈省商务厅备案。</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（四）建立骨干网络。</w:t>
      </w:r>
      <w:r>
        <w:rPr>
          <w:rFonts w:hint="eastAsia" w:ascii="仿宋_GB2312" w:hAnsi="仿宋_GB2312" w:eastAsia="仿宋_GB2312" w:cs="仿宋_GB2312"/>
          <w:b w:val="0"/>
          <w:bCs w:val="0"/>
          <w:color w:val="auto"/>
          <w:sz w:val="32"/>
          <w:szCs w:val="32"/>
        </w:rPr>
        <w:t>建立健全农产品流通骨干队伍，自2014年起获得过服务业资金支持的农产品流通企业，原则上均纳入骨干队伍，持续发挥民生保障功能。督促支持项目在显著位置标识“国家农产品供应链项目”字样。</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五</w:t>
      </w:r>
      <w:r>
        <w:rPr>
          <w:rFonts w:hint="eastAsia" w:ascii="楷体_GB2312" w:hAnsi="楷体_GB2312" w:eastAsia="楷体_GB2312" w:cs="楷体_GB2312"/>
          <w:b w:val="0"/>
          <w:bCs w:val="0"/>
          <w:color w:val="auto"/>
          <w:sz w:val="32"/>
          <w:szCs w:val="32"/>
        </w:rPr>
        <w:t>）总结典型经验。</w:t>
      </w:r>
      <w:r>
        <w:rPr>
          <w:rFonts w:hint="eastAsia" w:ascii="仿宋_GB2312" w:hAnsi="仿宋_GB2312" w:eastAsia="仿宋_GB2312" w:cs="仿宋_GB2312"/>
          <w:b w:val="0"/>
          <w:bCs w:val="0"/>
          <w:color w:val="auto"/>
          <w:sz w:val="32"/>
          <w:szCs w:val="32"/>
          <w:lang w:eastAsia="zh-CN"/>
        </w:rPr>
        <w:t>项目所在县（区）</w:t>
      </w:r>
      <w:r>
        <w:rPr>
          <w:rFonts w:hint="eastAsia" w:ascii="仿宋_GB2312" w:hAnsi="仿宋_GB2312" w:eastAsia="仿宋_GB2312" w:cs="仿宋_GB2312"/>
          <w:b w:val="0"/>
          <w:bCs w:val="0"/>
          <w:color w:val="auto"/>
          <w:sz w:val="32"/>
          <w:szCs w:val="32"/>
        </w:rPr>
        <w:t>要及时总结宣传典型经验，及时梳理经验做法，定期报送阶段性工作情况典型案例</w:t>
      </w:r>
      <w:r>
        <w:rPr>
          <w:rFonts w:hint="eastAsia" w:ascii="仿宋_GB2312" w:hAnsi="仿宋_GB2312" w:eastAsia="仿宋_GB2312" w:cs="仿宋_GB2312"/>
          <w:b w:val="0"/>
          <w:bCs w:val="0"/>
          <w:color w:val="auto"/>
          <w:sz w:val="32"/>
          <w:szCs w:val="32"/>
          <w:lang w:eastAsia="zh-CN"/>
        </w:rPr>
        <w:t>到市商务局、市财政局</w:t>
      </w:r>
      <w:r>
        <w:rPr>
          <w:rFonts w:hint="eastAsia" w:ascii="仿宋_GB2312" w:hAnsi="仿宋_GB2312" w:eastAsia="仿宋_GB2312" w:cs="仿宋_GB2312"/>
          <w:b w:val="0"/>
          <w:bCs w:val="0"/>
          <w:color w:val="auto"/>
          <w:sz w:val="32"/>
          <w:szCs w:val="32"/>
        </w:rPr>
        <w:t>，促进相互交流与借鉴，增强示范带动作用。</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附件：1.</w:t>
      </w:r>
      <w:r>
        <w:rPr>
          <w:rFonts w:hint="eastAsia" w:ascii="仿宋_GB2312" w:hAnsi="仿宋_GB2312" w:eastAsia="仿宋_GB2312" w:cs="仿宋_GB2312"/>
          <w:b w:val="0"/>
          <w:bCs w:val="0"/>
          <w:color w:val="auto"/>
          <w:sz w:val="32"/>
          <w:szCs w:val="32"/>
          <w:lang w:eastAsia="zh-CN"/>
        </w:rPr>
        <w:t>伊春</w:t>
      </w:r>
      <w:r>
        <w:rPr>
          <w:rFonts w:hint="eastAsia" w:ascii="仿宋_GB2312" w:hAnsi="仿宋_GB2312" w:eastAsia="仿宋_GB2312" w:cs="仿宋_GB2312"/>
          <w:b w:val="0"/>
          <w:bCs w:val="0"/>
          <w:color w:val="auto"/>
          <w:sz w:val="32"/>
          <w:szCs w:val="32"/>
        </w:rPr>
        <w:t>市2023年度农产品供应链体系建设资金</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实施细则</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1600" w:firstLineChars="5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2.2023年度农产品供应链体系建设总体目标</w:t>
      </w:r>
    </w:p>
    <w:p>
      <w:pPr>
        <w:pStyle w:val="12"/>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1600" w:firstLineChars="5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3.2023年度农产品供应链体系建设项目清单</w:t>
      </w:r>
    </w:p>
    <w:p>
      <w:pPr>
        <w:pStyle w:val="12"/>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1600" w:firstLineChars="500"/>
        <w:textAlignment w:val="auto"/>
        <w:rPr>
          <w:rFonts w:hint="eastAsia" w:hAnsi="仿宋_GB2312" w:cs="仿宋_GB2312"/>
          <w:b w:val="0"/>
          <w:bCs w:val="0"/>
          <w:color w:val="auto"/>
          <w:sz w:val="32"/>
          <w:szCs w:val="32"/>
          <w:lang w:val="en-US" w:eastAsia="zh-CN"/>
        </w:rPr>
      </w:pPr>
      <w:r>
        <w:rPr>
          <w:rFonts w:hint="eastAsia" w:hAnsi="仿宋_GB2312" w:cs="仿宋_GB2312"/>
          <w:b w:val="0"/>
          <w:bCs w:val="0"/>
          <w:color w:val="auto"/>
          <w:sz w:val="32"/>
          <w:szCs w:val="32"/>
          <w:lang w:val="en-US" w:eastAsia="zh-CN"/>
        </w:rPr>
        <w:t>4.购置冷链设施设备清单</w:t>
      </w:r>
    </w:p>
    <w:p>
      <w:pPr>
        <w:pStyle w:val="12"/>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snapToGrid/>
        <w:spacing w:line="580" w:lineRule="exact"/>
        <w:ind w:firstLine="1600" w:firstLineChars="500"/>
        <w:textAlignment w:val="auto"/>
        <w:rPr>
          <w:rFonts w:hint="default" w:hAnsi="仿宋_GB2312" w:cs="仿宋_GB2312"/>
          <w:b w:val="0"/>
          <w:bCs w:val="0"/>
          <w:color w:val="auto"/>
          <w:sz w:val="32"/>
          <w:szCs w:val="32"/>
          <w:lang w:val="en-US" w:eastAsia="zh-CN"/>
        </w:rPr>
      </w:pPr>
      <w:r>
        <w:rPr>
          <w:rFonts w:hint="eastAsia" w:hAnsi="仿宋_GB2312" w:cs="仿宋_GB2312"/>
          <w:b w:val="0"/>
          <w:bCs w:val="0"/>
          <w:color w:val="auto"/>
          <w:sz w:val="32"/>
          <w:szCs w:val="32"/>
          <w:lang w:val="en-US" w:eastAsia="zh-CN"/>
        </w:rPr>
        <w:t>5.伊春市农产品供应链体系建设工作协调机制</w:t>
      </w:r>
    </w:p>
    <w:p>
      <w:pPr>
        <w:pStyle w:val="14"/>
        <w:pBdr>
          <w:top w:val="single" w:color="FFFFFF" w:sz="8" w:space="0"/>
          <w:left w:val="single" w:color="FFFFFF" w:sz="8" w:space="4"/>
          <w:bottom w:val="single" w:color="FFFFFF" w:sz="8" w:space="30"/>
          <w:right w:val="single" w:color="FFFFFF" w:sz="8" w:space="9"/>
        </w:pBdr>
        <w:shd w:val="clear"/>
        <w:snapToGrid w:val="0"/>
        <w:spacing w:line="560" w:lineRule="exact"/>
        <w:jc w:val="both"/>
        <w:rPr>
          <w:rFonts w:hint="eastAsia" w:ascii="方正小标宋简体" w:hAnsi="方正小标宋简体" w:eastAsia="方正小标宋简体" w:cs="方正小标宋简体"/>
          <w:b w:val="0"/>
          <w:bCs w:val="0"/>
          <w:color w:val="auto"/>
          <w:sz w:val="44"/>
          <w:szCs w:val="44"/>
          <w:lang w:eastAsia="zh-CN"/>
        </w:rPr>
      </w:pPr>
    </w:p>
    <w:p>
      <w:pPr>
        <w:pStyle w:val="14"/>
        <w:pBdr>
          <w:top w:val="single" w:color="FFFFFF" w:sz="8" w:space="0"/>
          <w:left w:val="single" w:color="FFFFFF" w:sz="8" w:space="4"/>
          <w:bottom w:val="single" w:color="FFFFFF" w:sz="8" w:space="30"/>
          <w:right w:val="single" w:color="FFFFFF" w:sz="8" w:space="9"/>
        </w:pBdr>
        <w:shd w:val="clear"/>
        <w:snapToGrid w:val="0"/>
        <w:spacing w:line="560" w:lineRule="exact"/>
        <w:jc w:val="both"/>
        <w:rPr>
          <w:rFonts w:hint="eastAsia" w:ascii="方正小标宋简体" w:hAnsi="方正小标宋简体" w:eastAsia="方正小标宋简体" w:cs="方正小标宋简体"/>
          <w:b w:val="0"/>
          <w:bCs w:val="0"/>
          <w:color w:val="auto"/>
          <w:sz w:val="44"/>
          <w:szCs w:val="44"/>
          <w:lang w:eastAsia="zh-CN"/>
        </w:rPr>
      </w:pPr>
    </w:p>
    <w:p>
      <w:pPr>
        <w:pStyle w:val="14"/>
        <w:pBdr>
          <w:top w:val="single" w:color="FFFFFF" w:sz="8" w:space="0"/>
          <w:left w:val="single" w:color="FFFFFF" w:sz="8" w:space="4"/>
          <w:bottom w:val="single" w:color="FFFFFF" w:sz="8" w:space="30"/>
          <w:right w:val="single" w:color="FFFFFF" w:sz="8" w:space="9"/>
        </w:pBdr>
        <w:shd w:val="clear"/>
        <w:snapToGrid w:val="0"/>
        <w:spacing w:line="560" w:lineRule="exact"/>
        <w:jc w:val="both"/>
        <w:rPr>
          <w:rFonts w:hint="eastAsia" w:ascii="方正小标宋简体" w:hAnsi="方正小标宋简体" w:eastAsia="方正小标宋简体" w:cs="方正小标宋简体"/>
          <w:b w:val="0"/>
          <w:bCs w:val="0"/>
          <w:color w:val="auto"/>
          <w:sz w:val="44"/>
          <w:szCs w:val="44"/>
          <w:lang w:eastAsia="zh-CN"/>
        </w:rPr>
      </w:pPr>
    </w:p>
    <w:p>
      <w:pPr>
        <w:pStyle w:val="14"/>
        <w:pBdr>
          <w:top w:val="single" w:color="FFFFFF" w:sz="8" w:space="0"/>
          <w:left w:val="single" w:color="FFFFFF" w:sz="8" w:space="4"/>
          <w:bottom w:val="single" w:color="FFFFFF" w:sz="8" w:space="30"/>
          <w:right w:val="single" w:color="FFFFFF" w:sz="8" w:space="9"/>
        </w:pBdr>
        <w:shd w:val="clear"/>
        <w:snapToGrid w:val="0"/>
        <w:spacing w:line="560" w:lineRule="exact"/>
        <w:jc w:val="both"/>
        <w:rPr>
          <w:rFonts w:hint="eastAsia" w:ascii="方正小标宋简体" w:hAnsi="方正小标宋简体" w:eastAsia="方正小标宋简体" w:cs="方正小标宋简体"/>
          <w:b w:val="0"/>
          <w:bCs w:val="0"/>
          <w:color w:val="auto"/>
          <w:sz w:val="44"/>
          <w:szCs w:val="44"/>
          <w:lang w:eastAsia="zh-CN"/>
        </w:rPr>
      </w:pPr>
    </w:p>
    <w:p>
      <w:pPr>
        <w:pStyle w:val="14"/>
        <w:pBdr>
          <w:top w:val="single" w:color="FFFFFF" w:sz="8" w:space="0"/>
          <w:left w:val="single" w:color="FFFFFF" w:sz="8" w:space="4"/>
          <w:bottom w:val="single" w:color="FFFFFF" w:sz="8" w:space="30"/>
          <w:right w:val="single" w:color="FFFFFF" w:sz="8" w:space="9"/>
        </w:pBdr>
        <w:shd w:val="clear"/>
        <w:snapToGrid w:val="0"/>
        <w:spacing w:line="560" w:lineRule="exact"/>
        <w:jc w:val="both"/>
        <w:rPr>
          <w:rFonts w:hint="eastAsia" w:ascii="方正小标宋简体" w:hAnsi="方正小标宋简体" w:eastAsia="方正小标宋简体" w:cs="方正小标宋简体"/>
          <w:b w:val="0"/>
          <w:bCs w:val="0"/>
          <w:color w:val="auto"/>
          <w:sz w:val="44"/>
          <w:szCs w:val="44"/>
          <w:lang w:eastAsia="zh-CN"/>
        </w:rPr>
      </w:pP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伊春市2023年度农产品供应链体系</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建设资金实施细则</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textAlignment w:val="auto"/>
        <w:rPr>
          <w:rFonts w:hint="eastAsia" w:ascii="Nimbus Roman No9 L" w:hAnsi="Nimbus Roman No9 L" w:eastAsia="仿宋_GB2312" w:cs="Nimbus Roman No9 L"/>
          <w:b w:val="0"/>
          <w:bCs w:val="0"/>
          <w:color w:val="auto"/>
          <w:sz w:val="32"/>
          <w:szCs w:val="32"/>
        </w:rPr>
      </w:pPr>
      <w:r>
        <w:rPr>
          <w:rFonts w:hint="eastAsia" w:ascii="Nimbus Roman No9 L" w:hAnsi="Nimbus Roman No9 L" w:eastAsia="仿宋_GB2312" w:cs="Nimbus Roman No9 L"/>
          <w:b w:val="0"/>
          <w:bCs w:val="0"/>
          <w:color w:val="auto"/>
          <w:sz w:val="32"/>
          <w:szCs w:val="32"/>
          <w:lang w:val="en-US" w:eastAsia="zh-CN"/>
        </w:rPr>
        <w:t xml:space="preserve"> </w:t>
      </w:r>
    </w:p>
    <w:p>
      <w:pPr>
        <w:pStyle w:val="14"/>
        <w:keepNext w:val="0"/>
        <w:keepLines w:val="0"/>
        <w:pageBreakBefore w:val="0"/>
        <w:widowControl w:val="0"/>
        <w:numPr>
          <w:ilvl w:val="0"/>
          <w:numId w:val="1"/>
        </w:numPr>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val="0"/>
          <w:color w:val="auto"/>
          <w:sz w:val="32"/>
          <w:szCs w:val="32"/>
          <w:lang w:eastAsia="zh-Hans"/>
        </w:rPr>
      </w:pPr>
      <w:r>
        <w:rPr>
          <w:rFonts w:hint="eastAsia" w:ascii="黑体" w:hAnsi="黑体" w:eastAsia="黑体" w:cs="黑体"/>
          <w:b w:val="0"/>
          <w:bCs w:val="0"/>
          <w:color w:val="auto"/>
          <w:sz w:val="32"/>
          <w:szCs w:val="32"/>
          <w:lang w:eastAsia="zh-Hans"/>
        </w:rPr>
        <w:t>总则</w:t>
      </w:r>
    </w:p>
    <w:p>
      <w:pPr>
        <w:pStyle w:val="14"/>
        <w:keepNext w:val="0"/>
        <w:keepLines w:val="0"/>
        <w:pageBreakBefore w:val="0"/>
        <w:widowControl w:val="0"/>
        <w:numPr>
          <w:ilvl w:val="0"/>
          <w:numId w:val="0"/>
        </w:numPr>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 w:val="0"/>
          <w:bCs w:val="0"/>
          <w:color w:val="auto"/>
          <w:sz w:val="32"/>
          <w:szCs w:val="32"/>
          <w:lang w:eastAsia="zh-Hans"/>
        </w:rPr>
      </w:pP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rPr>
      </w:pPr>
      <w:r>
        <w:rPr>
          <w:rFonts w:hint="eastAsia" w:ascii="仿宋_GB2312" w:hAnsi="仿宋_GB2312" w:eastAsia="仿宋_GB2312" w:cs="仿宋_GB2312"/>
          <w:b w:val="0"/>
          <w:bCs w:val="0"/>
          <w:color w:val="auto"/>
          <w:sz w:val="32"/>
          <w:szCs w:val="32"/>
        </w:rPr>
        <w:t>第一条</w:t>
      </w:r>
      <w:r>
        <w:rPr>
          <w:rFonts w:hint="eastAsia" w:ascii="黑体" w:hAnsi="黑体" w:eastAsia="黑体" w:cs="黑体"/>
          <w:b w:val="0"/>
          <w:bCs w:val="0"/>
          <w:color w:val="auto"/>
          <w:sz w:val="32"/>
          <w:szCs w:val="32"/>
        </w:rPr>
        <w:t xml:space="preserve"> </w:t>
      </w:r>
      <w:r>
        <w:rPr>
          <w:rFonts w:hint="eastAsia" w:ascii="仿宋_GB2312" w:hAnsi="仿宋_GB2312" w:eastAsia="仿宋_GB2312" w:cs="仿宋_GB2312"/>
          <w:b w:val="0"/>
          <w:bCs w:val="0"/>
          <w:color w:val="auto"/>
          <w:sz w:val="32"/>
          <w:szCs w:val="32"/>
        </w:rPr>
        <w:t>为做好</w:t>
      </w:r>
      <w:r>
        <w:rPr>
          <w:rFonts w:hint="eastAsia" w:ascii="仿宋_GB2312" w:hAnsi="仿宋_GB2312" w:eastAsia="仿宋_GB2312" w:cs="仿宋_GB2312"/>
          <w:b w:val="0"/>
          <w:bCs w:val="0"/>
          <w:color w:val="auto"/>
          <w:sz w:val="32"/>
          <w:szCs w:val="32"/>
          <w:lang w:eastAsia="zh-CN"/>
        </w:rPr>
        <w:t>伊春</w:t>
      </w:r>
      <w:r>
        <w:rPr>
          <w:rFonts w:hint="eastAsia" w:ascii="仿宋_GB2312" w:hAnsi="仿宋_GB2312" w:eastAsia="仿宋_GB2312" w:cs="仿宋_GB2312"/>
          <w:b w:val="0"/>
          <w:bCs w:val="0"/>
          <w:color w:val="auto"/>
          <w:sz w:val="32"/>
          <w:szCs w:val="32"/>
        </w:rPr>
        <w:t>市农产品供应链体系建设工作，着力完善我市农产品流通骨干网络，加快建设畅通高效、贯通城乡、安全规范的农产品现代流通体系，提高财政资金的使用效益，规范中央服务业发展资金（农产品供应链体系建设）的使用和管理，根据《财政部办公厅 商务部办公厅关于支持加快农产品供应链体系建设 进一步促进冷链物流发展的通知》（财办建〔2022〕36号）</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《财政部关于印发＜服务业发展资金管理办法＞的通知》（财建〔2023〕9号）</w:t>
      </w:r>
      <w:r>
        <w:rPr>
          <w:rFonts w:hint="eastAsia" w:ascii="仿宋_GB2312" w:hAnsi="仿宋_GB2312" w:eastAsia="仿宋_GB2312" w:cs="仿宋_GB2312"/>
          <w:b w:val="0"/>
          <w:bCs w:val="0"/>
          <w:color w:val="auto"/>
          <w:sz w:val="32"/>
          <w:szCs w:val="32"/>
          <w:lang w:eastAsia="zh-CN"/>
        </w:rPr>
        <w:t>、黑龙江</w:t>
      </w:r>
      <w:r>
        <w:rPr>
          <w:rFonts w:hint="eastAsia" w:ascii="仿宋_GB2312" w:hAnsi="仿宋_GB2312" w:eastAsia="仿宋_GB2312" w:cs="仿宋_GB2312"/>
          <w:b w:val="0"/>
          <w:bCs w:val="0"/>
          <w:color w:val="auto"/>
          <w:sz w:val="32"/>
          <w:szCs w:val="32"/>
        </w:rPr>
        <w:t>省商务厅</w:t>
      </w:r>
      <w:r>
        <w:rPr>
          <w:rFonts w:hint="eastAsia" w:ascii="仿宋_GB2312" w:hAnsi="仿宋_GB2312" w:eastAsia="仿宋_GB2312" w:cs="仿宋_GB2312"/>
          <w:b w:val="0"/>
          <w:bCs w:val="0"/>
          <w:color w:val="auto"/>
          <w:sz w:val="32"/>
          <w:szCs w:val="32"/>
          <w:lang w:eastAsia="zh-CN"/>
        </w:rPr>
        <w:t>黑龙江</w:t>
      </w:r>
      <w:r>
        <w:rPr>
          <w:rFonts w:hint="eastAsia" w:ascii="仿宋_GB2312" w:hAnsi="仿宋_GB2312" w:eastAsia="仿宋_GB2312" w:cs="仿宋_GB2312"/>
          <w:b w:val="0"/>
          <w:bCs w:val="0"/>
          <w:color w:val="auto"/>
          <w:sz w:val="32"/>
          <w:szCs w:val="32"/>
        </w:rPr>
        <w:t>省财政厅《关于继续支持加快农产品供应链体系建设进一步促进冷链物流发展的通知》（黑商联函〔202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11</w:t>
      </w:r>
      <w:r>
        <w:rPr>
          <w:rFonts w:hint="eastAsia" w:ascii="仿宋_GB2312" w:hAnsi="仿宋_GB2312" w:eastAsia="仿宋_GB2312" w:cs="仿宋_GB2312"/>
          <w:b w:val="0"/>
          <w:bCs w:val="0"/>
          <w:color w:val="auto"/>
          <w:sz w:val="32"/>
          <w:szCs w:val="32"/>
        </w:rPr>
        <w:t>号）以及中央财政关于专项资金管理的有关文件精神，结合</w:t>
      </w:r>
      <w:r>
        <w:rPr>
          <w:rFonts w:hint="eastAsia" w:ascii="仿宋_GB2312" w:hAnsi="仿宋_GB2312" w:eastAsia="仿宋_GB2312" w:cs="仿宋_GB2312"/>
          <w:b w:val="0"/>
          <w:bCs w:val="0"/>
          <w:color w:val="auto"/>
          <w:sz w:val="32"/>
          <w:szCs w:val="32"/>
          <w:lang w:eastAsia="zh-CN"/>
        </w:rPr>
        <w:t>伊春</w:t>
      </w:r>
      <w:r>
        <w:rPr>
          <w:rFonts w:hint="eastAsia" w:ascii="Nimbus Roman No9 L" w:hAnsi="Nimbus Roman No9 L" w:eastAsia="仿宋_GB2312" w:cs="Nimbus Roman No9 L"/>
          <w:b w:val="0"/>
          <w:bCs w:val="0"/>
          <w:color w:val="auto"/>
          <w:sz w:val="32"/>
          <w:szCs w:val="32"/>
        </w:rPr>
        <w:t>市农产品供应链体系建设的发展实际，制定本</w:t>
      </w:r>
      <w:r>
        <w:rPr>
          <w:rFonts w:hint="eastAsia" w:ascii="Nimbus Roman No9 L" w:hAnsi="Nimbus Roman No9 L" w:eastAsia="仿宋_GB2312" w:cs="Nimbus Roman No9 L"/>
          <w:b w:val="0"/>
          <w:bCs w:val="0"/>
          <w:color w:val="auto"/>
          <w:sz w:val="32"/>
          <w:szCs w:val="32"/>
          <w:lang w:eastAsia="zh-CN"/>
        </w:rPr>
        <w:t>实施细则</w:t>
      </w:r>
      <w:r>
        <w:rPr>
          <w:rFonts w:hint="eastAsia" w:ascii="Nimbus Roman No9 L" w:hAnsi="Nimbus Roman No9 L" w:eastAsia="仿宋_GB2312" w:cs="Nimbus Roman No9 L"/>
          <w:b w:val="0"/>
          <w:bCs w:val="0"/>
          <w:color w:val="auto"/>
          <w:sz w:val="32"/>
          <w:szCs w:val="32"/>
        </w:rPr>
        <w:t>。</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rPr>
      </w:pPr>
      <w:r>
        <w:rPr>
          <w:rFonts w:hint="eastAsia" w:ascii="仿宋_GB2312" w:hAnsi="仿宋_GB2312" w:eastAsia="仿宋_GB2312" w:cs="仿宋_GB2312"/>
          <w:b w:val="0"/>
          <w:bCs w:val="0"/>
          <w:color w:val="auto"/>
          <w:sz w:val="32"/>
          <w:szCs w:val="32"/>
        </w:rPr>
        <w:t>第二条</w:t>
      </w:r>
      <w:r>
        <w:rPr>
          <w:rFonts w:hint="eastAsia" w:ascii="黑体" w:hAnsi="黑体" w:eastAsia="黑体" w:cs="黑体"/>
          <w:b w:val="0"/>
          <w:bCs w:val="0"/>
          <w:color w:val="auto"/>
          <w:sz w:val="32"/>
          <w:szCs w:val="32"/>
        </w:rPr>
        <w:t xml:space="preserve"> </w:t>
      </w:r>
      <w:r>
        <w:rPr>
          <w:rFonts w:hint="eastAsia" w:ascii="Nimbus Roman No9 L" w:hAnsi="Nimbus Roman No9 L" w:eastAsia="仿宋_GB2312" w:cs="Nimbus Roman No9 L"/>
          <w:b w:val="0"/>
          <w:bCs w:val="0"/>
          <w:color w:val="auto"/>
          <w:sz w:val="32"/>
          <w:szCs w:val="32"/>
          <w:lang w:eastAsia="zh-CN"/>
        </w:rPr>
        <w:t>伊春</w:t>
      </w:r>
      <w:r>
        <w:rPr>
          <w:rFonts w:hint="eastAsia" w:ascii="Nimbus Roman No9 L" w:hAnsi="Nimbus Roman No9 L" w:eastAsia="仿宋_GB2312" w:cs="Nimbus Roman No9 L"/>
          <w:b w:val="0"/>
          <w:bCs w:val="0"/>
          <w:color w:val="auto"/>
          <w:sz w:val="32"/>
          <w:szCs w:val="32"/>
        </w:rPr>
        <w:t>市农产品供应链体系建设专项资金（以下简称“专项资金”）</w:t>
      </w:r>
      <w:r>
        <w:rPr>
          <w:rFonts w:hint="eastAsia" w:ascii="仿宋_GB2312" w:hAnsi="仿宋_GB2312" w:eastAsia="仿宋_GB2312" w:cs="仿宋_GB2312"/>
          <w:b w:val="0"/>
          <w:bCs w:val="0"/>
          <w:color w:val="auto"/>
          <w:sz w:val="32"/>
          <w:szCs w:val="32"/>
        </w:rPr>
        <w:t>是通过中央服务业发展金安排的，立足畅通国内大循环和实施扩大内需战略，主要用于支持加快农产品供应链体系建设，进一步促进冷链物流发展的</w:t>
      </w:r>
      <w:r>
        <w:rPr>
          <w:rFonts w:hint="eastAsia" w:ascii="仿宋_GB2312" w:hAnsi="仿宋_GB2312" w:eastAsia="仿宋_GB2312" w:cs="仿宋_GB2312"/>
          <w:b w:val="0"/>
          <w:bCs w:val="0"/>
          <w:color w:val="auto"/>
          <w:sz w:val="32"/>
          <w:szCs w:val="32"/>
          <w:lang w:eastAsia="zh-Hans"/>
        </w:rPr>
        <w:t>专项资金</w:t>
      </w:r>
      <w:r>
        <w:rPr>
          <w:rFonts w:hint="eastAsia" w:ascii="Nimbus Roman No9 L" w:hAnsi="Nimbus Roman No9 L" w:eastAsia="仿宋_GB2312" w:cs="Nimbus Roman No9 L"/>
          <w:b w:val="0"/>
          <w:bCs w:val="0"/>
          <w:color w:val="auto"/>
          <w:sz w:val="32"/>
          <w:szCs w:val="32"/>
        </w:rPr>
        <w:t>。</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rPr>
      </w:pPr>
      <w:r>
        <w:rPr>
          <w:rFonts w:hint="eastAsia" w:ascii="Nimbus Roman No9 L" w:hAnsi="Nimbus Roman No9 L" w:eastAsia="仿宋_GB2312" w:cs="Nimbus Roman No9 L"/>
          <w:b w:val="0"/>
          <w:bCs w:val="0"/>
          <w:color w:val="auto"/>
          <w:sz w:val="32"/>
          <w:szCs w:val="32"/>
        </w:rPr>
        <w:t>第三条 专项资金的管理和使用遵循科学规范、公平公正、聚焦重点、讲求绩效的原则，按照财政部、商务部确定的重点工作，紧紧围绕省委、省政府关于农产品供应链体系建设工作的决策部署，按程序确定具体支持政策。</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rPr>
      </w:pPr>
      <w:r>
        <w:rPr>
          <w:rFonts w:hint="eastAsia" w:ascii="Nimbus Roman No9 L" w:hAnsi="Nimbus Roman No9 L" w:eastAsia="仿宋_GB2312" w:cs="Nimbus Roman No9 L"/>
          <w:b w:val="0"/>
          <w:bCs w:val="0"/>
          <w:color w:val="auto"/>
          <w:sz w:val="32"/>
          <w:szCs w:val="32"/>
        </w:rPr>
        <w:t>第四条 专项资金由市商务</w:t>
      </w:r>
      <w:r>
        <w:rPr>
          <w:rFonts w:hint="eastAsia" w:ascii="Nimbus Roman No9 L" w:hAnsi="Nimbus Roman No9 L" w:eastAsia="仿宋_GB2312" w:cs="Nimbus Roman No9 L"/>
          <w:b w:val="0"/>
          <w:bCs w:val="0"/>
          <w:color w:val="auto"/>
          <w:sz w:val="32"/>
          <w:szCs w:val="32"/>
          <w:lang w:eastAsia="zh-CN"/>
        </w:rPr>
        <w:t>局</w:t>
      </w:r>
      <w:r>
        <w:rPr>
          <w:rFonts w:hint="eastAsia" w:ascii="Nimbus Roman No9 L" w:hAnsi="Nimbus Roman No9 L" w:eastAsia="仿宋_GB2312" w:cs="Nimbus Roman No9 L"/>
          <w:b w:val="0"/>
          <w:bCs w:val="0"/>
          <w:color w:val="auto"/>
          <w:sz w:val="32"/>
          <w:szCs w:val="32"/>
        </w:rPr>
        <w:t>、市财政</w:t>
      </w:r>
      <w:r>
        <w:rPr>
          <w:rFonts w:hint="eastAsia" w:ascii="Nimbus Roman No9 L" w:hAnsi="Nimbus Roman No9 L" w:eastAsia="仿宋_GB2312" w:cs="Nimbus Roman No9 L"/>
          <w:b w:val="0"/>
          <w:bCs w:val="0"/>
          <w:color w:val="auto"/>
          <w:sz w:val="32"/>
          <w:szCs w:val="32"/>
          <w:lang w:eastAsia="zh-CN"/>
        </w:rPr>
        <w:t>局</w:t>
      </w:r>
      <w:r>
        <w:rPr>
          <w:rFonts w:hint="eastAsia" w:ascii="Nimbus Roman No9 L" w:hAnsi="Nimbus Roman No9 L" w:eastAsia="仿宋_GB2312" w:cs="Nimbus Roman No9 L"/>
          <w:b w:val="0"/>
          <w:bCs w:val="0"/>
          <w:color w:val="auto"/>
          <w:sz w:val="32"/>
          <w:szCs w:val="32"/>
        </w:rPr>
        <w:t>共同管理，</w:t>
      </w:r>
      <w:r>
        <w:rPr>
          <w:rFonts w:hint="eastAsia" w:ascii="Nimbus Roman No9 L" w:hAnsi="Nimbus Roman No9 L" w:eastAsia="仿宋_GB2312" w:cs="Nimbus Roman No9 L"/>
          <w:b w:val="0"/>
          <w:bCs w:val="0"/>
          <w:color w:val="auto"/>
          <w:sz w:val="32"/>
          <w:szCs w:val="32"/>
          <w:lang w:eastAsia="zh-CN"/>
        </w:rPr>
        <w:t>项目所在</w:t>
      </w:r>
      <w:r>
        <w:rPr>
          <w:rFonts w:hint="eastAsia" w:ascii="Nimbus Roman No9 L" w:hAnsi="Nimbus Roman No9 L" w:eastAsia="仿宋_GB2312" w:cs="Nimbus Roman No9 L"/>
          <w:b w:val="0"/>
          <w:bCs w:val="0"/>
          <w:color w:val="auto"/>
          <w:sz w:val="32"/>
          <w:szCs w:val="32"/>
        </w:rPr>
        <w:t>县（</w:t>
      </w:r>
      <w:r>
        <w:rPr>
          <w:rFonts w:hint="eastAsia" w:ascii="Nimbus Roman No9 L" w:hAnsi="Nimbus Roman No9 L" w:eastAsia="仿宋_GB2312" w:cs="Nimbus Roman No9 L"/>
          <w:b w:val="0"/>
          <w:bCs w:val="0"/>
          <w:color w:val="auto"/>
          <w:sz w:val="32"/>
          <w:szCs w:val="32"/>
          <w:lang w:eastAsia="zh-CN"/>
        </w:rPr>
        <w:t>区</w:t>
      </w:r>
      <w:r>
        <w:rPr>
          <w:rFonts w:hint="eastAsia" w:ascii="Nimbus Roman No9 L" w:hAnsi="Nimbus Roman No9 L" w:eastAsia="仿宋_GB2312" w:cs="Nimbus Roman No9 L"/>
          <w:b w:val="0"/>
          <w:bCs w:val="0"/>
          <w:color w:val="auto"/>
          <w:sz w:val="32"/>
          <w:szCs w:val="32"/>
        </w:rPr>
        <w:t>）商务部门、财政部门按职责分工做好专项资金具体管理和使用监督等相关工作。</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rPr>
      </w:pPr>
      <w:r>
        <w:rPr>
          <w:rFonts w:hint="eastAsia" w:ascii="Nimbus Roman No9 L" w:hAnsi="Nimbus Roman No9 L" w:eastAsia="仿宋_GB2312" w:cs="Nimbus Roman No9 L"/>
          <w:b w:val="0"/>
          <w:bCs w:val="0"/>
          <w:color w:val="auto"/>
          <w:sz w:val="32"/>
          <w:szCs w:val="32"/>
        </w:rPr>
        <w:t>（一）市商务</w:t>
      </w:r>
      <w:r>
        <w:rPr>
          <w:rFonts w:hint="eastAsia" w:ascii="Nimbus Roman No9 L" w:hAnsi="Nimbus Roman No9 L" w:eastAsia="仿宋_GB2312" w:cs="Nimbus Roman No9 L"/>
          <w:b w:val="0"/>
          <w:bCs w:val="0"/>
          <w:color w:val="auto"/>
          <w:sz w:val="32"/>
          <w:szCs w:val="32"/>
          <w:lang w:eastAsia="zh-CN"/>
        </w:rPr>
        <w:t>局</w:t>
      </w:r>
      <w:r>
        <w:rPr>
          <w:rFonts w:hint="eastAsia" w:ascii="Nimbus Roman No9 L" w:hAnsi="Nimbus Roman No9 L" w:eastAsia="仿宋_GB2312" w:cs="Nimbus Roman No9 L"/>
          <w:b w:val="0"/>
          <w:bCs w:val="0"/>
          <w:color w:val="auto"/>
          <w:sz w:val="32"/>
          <w:szCs w:val="32"/>
        </w:rPr>
        <w:t>负责提出专项资金支持事项，会同市财政</w:t>
      </w:r>
      <w:r>
        <w:rPr>
          <w:rFonts w:hint="eastAsia" w:ascii="Nimbus Roman No9 L" w:hAnsi="Nimbus Roman No9 L" w:eastAsia="仿宋_GB2312" w:cs="Nimbus Roman No9 L"/>
          <w:b w:val="0"/>
          <w:bCs w:val="0"/>
          <w:color w:val="auto"/>
          <w:sz w:val="32"/>
          <w:szCs w:val="32"/>
          <w:lang w:eastAsia="zh-CN"/>
        </w:rPr>
        <w:t>局</w:t>
      </w:r>
      <w:r>
        <w:rPr>
          <w:rFonts w:hint="eastAsia" w:ascii="Nimbus Roman No9 L" w:hAnsi="Nimbus Roman No9 L" w:eastAsia="仿宋_GB2312" w:cs="Nimbus Roman No9 L"/>
          <w:b w:val="0"/>
          <w:bCs w:val="0"/>
          <w:color w:val="auto"/>
          <w:sz w:val="32"/>
          <w:szCs w:val="32"/>
        </w:rPr>
        <w:t>确定专项资金年度目标任务、工作重点等；牵头组织专项资金有关事项的资金申报、审核工作，提出资金分配建议方案及绩效目标，组织开展绩效评价。</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rPr>
      </w:pPr>
      <w:r>
        <w:rPr>
          <w:rFonts w:hint="eastAsia" w:ascii="Nimbus Roman No9 L" w:hAnsi="Nimbus Roman No9 L" w:eastAsia="仿宋_GB2312" w:cs="Nimbus Roman No9 L"/>
          <w:b w:val="0"/>
          <w:bCs w:val="0"/>
          <w:color w:val="auto"/>
          <w:sz w:val="32"/>
          <w:szCs w:val="32"/>
        </w:rPr>
        <w:t>（二）市财政</w:t>
      </w:r>
      <w:r>
        <w:rPr>
          <w:rFonts w:hint="eastAsia" w:ascii="Nimbus Roman No9 L" w:hAnsi="Nimbus Roman No9 L" w:eastAsia="仿宋_GB2312" w:cs="Nimbus Roman No9 L"/>
          <w:b w:val="0"/>
          <w:bCs w:val="0"/>
          <w:color w:val="auto"/>
          <w:sz w:val="32"/>
          <w:szCs w:val="32"/>
          <w:lang w:eastAsia="zh-CN"/>
        </w:rPr>
        <w:t>局</w:t>
      </w:r>
      <w:r>
        <w:rPr>
          <w:rFonts w:hint="eastAsia" w:ascii="Nimbus Roman No9 L" w:hAnsi="Nimbus Roman No9 L" w:eastAsia="仿宋_GB2312" w:cs="Nimbus Roman No9 L"/>
          <w:b w:val="0"/>
          <w:bCs w:val="0"/>
          <w:color w:val="auto"/>
          <w:sz w:val="32"/>
          <w:szCs w:val="32"/>
        </w:rPr>
        <w:t>会同市商务</w:t>
      </w:r>
      <w:r>
        <w:rPr>
          <w:rFonts w:hint="eastAsia" w:ascii="Nimbus Roman No9 L" w:hAnsi="Nimbus Roman No9 L" w:eastAsia="仿宋_GB2312" w:cs="Nimbus Roman No9 L"/>
          <w:b w:val="0"/>
          <w:bCs w:val="0"/>
          <w:color w:val="auto"/>
          <w:sz w:val="32"/>
          <w:szCs w:val="32"/>
          <w:lang w:eastAsia="zh-CN"/>
        </w:rPr>
        <w:t>局</w:t>
      </w:r>
      <w:r>
        <w:rPr>
          <w:rFonts w:hint="eastAsia" w:ascii="Nimbus Roman No9 L" w:hAnsi="Nimbus Roman No9 L" w:eastAsia="仿宋_GB2312" w:cs="Nimbus Roman No9 L"/>
          <w:b w:val="0"/>
          <w:bCs w:val="0"/>
          <w:color w:val="auto"/>
          <w:sz w:val="32"/>
          <w:szCs w:val="32"/>
        </w:rPr>
        <w:t>按程序确定专项资金支持事项；根据预算管理要求，审核市商务</w:t>
      </w:r>
      <w:r>
        <w:rPr>
          <w:rFonts w:hint="eastAsia" w:ascii="Nimbus Roman No9 L" w:hAnsi="Nimbus Roman No9 L" w:eastAsia="仿宋_GB2312" w:cs="Nimbus Roman No9 L"/>
          <w:b w:val="0"/>
          <w:bCs w:val="0"/>
          <w:color w:val="auto"/>
          <w:sz w:val="32"/>
          <w:szCs w:val="32"/>
          <w:lang w:eastAsia="zh-CN"/>
        </w:rPr>
        <w:t>局</w:t>
      </w:r>
      <w:r>
        <w:rPr>
          <w:rFonts w:hint="eastAsia" w:ascii="Nimbus Roman No9 L" w:hAnsi="Nimbus Roman No9 L" w:eastAsia="仿宋_GB2312" w:cs="Nimbus Roman No9 L"/>
          <w:b w:val="0"/>
          <w:bCs w:val="0"/>
          <w:color w:val="auto"/>
          <w:sz w:val="32"/>
          <w:szCs w:val="32"/>
        </w:rPr>
        <w:t>提出的资金分配建议方案并下达预算和绩效目标，会同市商务</w:t>
      </w:r>
      <w:r>
        <w:rPr>
          <w:rFonts w:hint="eastAsia" w:ascii="Nimbus Roman No9 L" w:hAnsi="Nimbus Roman No9 L" w:eastAsia="仿宋_GB2312" w:cs="Nimbus Roman No9 L"/>
          <w:b w:val="0"/>
          <w:bCs w:val="0"/>
          <w:color w:val="auto"/>
          <w:sz w:val="32"/>
          <w:szCs w:val="32"/>
          <w:lang w:eastAsia="zh-CN"/>
        </w:rPr>
        <w:t>局</w:t>
      </w:r>
      <w:r>
        <w:rPr>
          <w:rFonts w:hint="eastAsia" w:ascii="Nimbus Roman No9 L" w:hAnsi="Nimbus Roman No9 L" w:eastAsia="仿宋_GB2312" w:cs="Nimbus Roman No9 L"/>
          <w:b w:val="0"/>
          <w:bCs w:val="0"/>
          <w:color w:val="auto"/>
          <w:sz w:val="32"/>
          <w:szCs w:val="32"/>
        </w:rPr>
        <w:t>组织开展专项资金重点绩效评价。</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rPr>
      </w:pPr>
      <w:r>
        <w:rPr>
          <w:rFonts w:hint="eastAsia" w:ascii="Nimbus Roman No9 L" w:hAnsi="Nimbus Roman No9 L" w:eastAsia="仿宋_GB2312" w:cs="Nimbus Roman No9 L"/>
          <w:b w:val="0"/>
          <w:bCs w:val="0"/>
          <w:color w:val="auto"/>
          <w:sz w:val="32"/>
          <w:szCs w:val="32"/>
        </w:rPr>
        <w:t>（</w:t>
      </w:r>
      <w:r>
        <w:rPr>
          <w:rFonts w:hint="eastAsia" w:ascii="Nimbus Roman No9 L" w:hAnsi="Nimbus Roman No9 L" w:eastAsia="仿宋_GB2312" w:cs="Nimbus Roman No9 L"/>
          <w:b w:val="0"/>
          <w:bCs w:val="0"/>
          <w:color w:val="auto"/>
          <w:sz w:val="32"/>
          <w:szCs w:val="32"/>
          <w:lang w:eastAsia="zh-CN"/>
        </w:rPr>
        <w:t>三</w:t>
      </w:r>
      <w:r>
        <w:rPr>
          <w:rFonts w:hint="eastAsia" w:ascii="Nimbus Roman No9 L" w:hAnsi="Nimbus Roman No9 L" w:eastAsia="仿宋_GB2312" w:cs="Nimbus Roman No9 L"/>
          <w:b w:val="0"/>
          <w:bCs w:val="0"/>
          <w:color w:val="auto"/>
          <w:sz w:val="32"/>
          <w:szCs w:val="32"/>
        </w:rPr>
        <w:t>）</w:t>
      </w:r>
      <w:r>
        <w:rPr>
          <w:rFonts w:hint="eastAsia" w:ascii="Nimbus Roman No9 L" w:hAnsi="Nimbus Roman No9 L" w:eastAsia="仿宋_GB2312" w:cs="Nimbus Roman No9 L"/>
          <w:b w:val="0"/>
          <w:bCs w:val="0"/>
          <w:color w:val="auto"/>
          <w:sz w:val="32"/>
          <w:szCs w:val="32"/>
          <w:lang w:eastAsia="zh-CN"/>
        </w:rPr>
        <w:t>项目所在</w:t>
      </w:r>
      <w:r>
        <w:rPr>
          <w:rFonts w:hint="eastAsia" w:ascii="Nimbus Roman No9 L" w:hAnsi="Nimbus Roman No9 L" w:eastAsia="仿宋_GB2312" w:cs="Nimbus Roman No9 L"/>
          <w:b w:val="0"/>
          <w:bCs w:val="0"/>
          <w:color w:val="auto"/>
          <w:sz w:val="32"/>
          <w:szCs w:val="32"/>
        </w:rPr>
        <w:t>县（</w:t>
      </w:r>
      <w:r>
        <w:rPr>
          <w:rFonts w:hint="eastAsia" w:ascii="Nimbus Roman No9 L" w:hAnsi="Nimbus Roman No9 L" w:eastAsia="仿宋_GB2312" w:cs="Nimbus Roman No9 L"/>
          <w:b w:val="0"/>
          <w:bCs w:val="0"/>
          <w:color w:val="auto"/>
          <w:sz w:val="32"/>
          <w:szCs w:val="32"/>
          <w:lang w:eastAsia="zh-CN"/>
        </w:rPr>
        <w:t>区</w:t>
      </w:r>
      <w:r>
        <w:rPr>
          <w:rFonts w:hint="eastAsia" w:ascii="Nimbus Roman No9 L" w:hAnsi="Nimbus Roman No9 L" w:eastAsia="仿宋_GB2312" w:cs="Nimbus Roman No9 L"/>
          <w:b w:val="0"/>
          <w:bCs w:val="0"/>
          <w:color w:val="auto"/>
          <w:sz w:val="32"/>
          <w:szCs w:val="32"/>
        </w:rPr>
        <w:t>）商务部门、财政部门承担专项资金管理、使用和监督等主体责任。根据职责分工，负责本地区资金申报、审核、拨付，明确本地区绩效目标，组织实施专项资金支持政策落实工作，并进行全过程绩效管理和监督。</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rPr>
      </w:pPr>
      <w:r>
        <w:rPr>
          <w:rFonts w:hint="eastAsia" w:ascii="Nimbus Roman No9 L" w:hAnsi="Nimbus Roman No9 L" w:eastAsia="仿宋_GB2312" w:cs="Nimbus Roman No9 L"/>
          <w:b w:val="0"/>
          <w:bCs w:val="0"/>
          <w:color w:val="auto"/>
          <w:sz w:val="32"/>
          <w:szCs w:val="32"/>
        </w:rPr>
        <w:t>（</w:t>
      </w:r>
      <w:r>
        <w:rPr>
          <w:rFonts w:hint="eastAsia" w:ascii="Nimbus Roman No9 L" w:hAnsi="Nimbus Roman No9 L" w:eastAsia="仿宋_GB2312" w:cs="Nimbus Roman No9 L"/>
          <w:b w:val="0"/>
          <w:bCs w:val="0"/>
          <w:color w:val="auto"/>
          <w:sz w:val="32"/>
          <w:szCs w:val="32"/>
          <w:lang w:eastAsia="zh-CN"/>
        </w:rPr>
        <w:t>四</w:t>
      </w:r>
      <w:r>
        <w:rPr>
          <w:rFonts w:hint="eastAsia" w:ascii="Nimbus Roman No9 L" w:hAnsi="Nimbus Roman No9 L" w:eastAsia="仿宋_GB2312" w:cs="Nimbus Roman No9 L"/>
          <w:b w:val="0"/>
          <w:bCs w:val="0"/>
          <w:color w:val="auto"/>
          <w:sz w:val="32"/>
          <w:szCs w:val="32"/>
        </w:rPr>
        <w:t>）资金申报、使用单位承担资金真实申报、合规使用和有效管理的主体责任。</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rPr>
      </w:pPr>
    </w:p>
    <w:p>
      <w:pPr>
        <w:pStyle w:val="14"/>
        <w:keepNext w:val="0"/>
        <w:keepLines w:val="0"/>
        <w:pageBreakBefore w:val="0"/>
        <w:widowControl w:val="0"/>
        <w:numPr>
          <w:ilvl w:val="0"/>
          <w:numId w:val="0"/>
        </w:numPr>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left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第二章 </w:t>
      </w:r>
      <w:r>
        <w:rPr>
          <w:rFonts w:hint="eastAsia" w:ascii="黑体" w:hAnsi="黑体" w:eastAsia="黑体" w:cs="黑体"/>
          <w:b w:val="0"/>
          <w:bCs w:val="0"/>
          <w:color w:val="auto"/>
          <w:sz w:val="32"/>
          <w:szCs w:val="32"/>
        </w:rPr>
        <w:t>资金支持范围、分配方式及项目支持标准</w:t>
      </w:r>
    </w:p>
    <w:p>
      <w:pPr>
        <w:pStyle w:val="14"/>
        <w:keepNext w:val="0"/>
        <w:keepLines w:val="0"/>
        <w:pageBreakBefore w:val="0"/>
        <w:widowControl w:val="0"/>
        <w:numPr>
          <w:ilvl w:val="0"/>
          <w:numId w:val="0"/>
        </w:numPr>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leftChars="0"/>
        <w:jc w:val="both"/>
        <w:textAlignment w:val="auto"/>
        <w:rPr>
          <w:rFonts w:hint="eastAsia" w:ascii="黑体" w:hAnsi="黑体" w:eastAsia="黑体" w:cs="黑体"/>
          <w:b w:val="0"/>
          <w:bCs w:val="0"/>
          <w:color w:val="auto"/>
          <w:sz w:val="32"/>
          <w:szCs w:val="32"/>
        </w:rPr>
      </w:pP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lang w:eastAsia="zh-CN"/>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五</w:t>
      </w:r>
      <w:r>
        <w:rPr>
          <w:rFonts w:hint="eastAsia" w:ascii="仿宋_GB2312" w:hAnsi="仿宋_GB2312" w:eastAsia="仿宋_GB2312" w:cs="仿宋_GB2312"/>
          <w:b w:val="0"/>
          <w:bCs w:val="0"/>
          <w:color w:val="auto"/>
          <w:sz w:val="32"/>
          <w:szCs w:val="32"/>
        </w:rPr>
        <w:t>条</w:t>
      </w:r>
      <w:r>
        <w:rPr>
          <w:rFonts w:hint="eastAsia" w:ascii="黑体" w:hAnsi="黑体" w:eastAsia="黑体" w:cs="黑体"/>
          <w:b w:val="0"/>
          <w:bCs w:val="0"/>
          <w:color w:val="auto"/>
          <w:sz w:val="32"/>
          <w:szCs w:val="32"/>
        </w:rPr>
        <w:t xml:space="preserve"> </w:t>
      </w:r>
      <w:r>
        <w:rPr>
          <w:rFonts w:hint="eastAsia" w:ascii="Nimbus Roman No9 L" w:hAnsi="Nimbus Roman No9 L" w:eastAsia="仿宋_GB2312" w:cs="Nimbus Roman No9 L"/>
          <w:b w:val="0"/>
          <w:bCs w:val="0"/>
          <w:color w:val="auto"/>
          <w:sz w:val="32"/>
          <w:szCs w:val="32"/>
          <w:lang w:eastAsia="zh-CN"/>
        </w:rPr>
        <w:t>专项资金支持范围包括：抓住集散地和销地两个关键节点，进一步聚焦发展农产品供应链物流，提高农产品流通效率和现代化水平。</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Nimbus Roman No9 L" w:hAnsi="Nimbus Roman No9 L" w:eastAsia="仿宋_GB2312" w:cs="Nimbus Roman No9 L"/>
          <w:b w:val="0"/>
          <w:bCs w:val="0"/>
          <w:color w:val="auto"/>
          <w:sz w:val="32"/>
          <w:szCs w:val="32"/>
          <w:lang w:eastAsia="zh-CN"/>
        </w:rPr>
        <w:t>（一）</w:t>
      </w:r>
      <w:r>
        <w:rPr>
          <w:rFonts w:hint="eastAsia" w:ascii="Nimbus Roman No9 L" w:hAnsi="Nimbus Roman No9 L" w:eastAsia="仿宋_GB2312" w:cs="Nimbus Roman No9 L"/>
          <w:b w:val="0"/>
          <w:bCs w:val="0"/>
          <w:color w:val="auto"/>
          <w:sz w:val="32"/>
          <w:szCs w:val="32"/>
        </w:rPr>
        <w:t>提高冷链物流重点干支线配送效率。在销地支持农产品流通企业、冷链物流企业等改扩建冷链集配中心和低温配送中心</w:t>
      </w:r>
      <w:r>
        <w:rPr>
          <w:rFonts w:hint="eastAsia" w:ascii="仿宋_GB2312" w:hAnsi="仿宋_GB2312" w:eastAsia="仿宋_GB2312" w:cs="仿宋_GB2312"/>
          <w:b w:val="0"/>
          <w:bCs w:val="0"/>
          <w:color w:val="auto"/>
          <w:sz w:val="32"/>
          <w:szCs w:val="32"/>
        </w:rPr>
        <w:t>，集成流通加工、区域分拨、城市配送等功能，提高冷链干线与支线衔接效率。推广可循环标准化周转箱，促进农产品冷链物流各环节有序衔接。</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）统筹支持农产品市场保供。根据实际情况适当支持2022年以来承担相关流通保供任务并受到疫情影响的农产品批发市场、商贸流通企业、冷链物流企业。</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lang w:eastAsia="zh-CN"/>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六</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Nimbus Roman No9 L" w:hAnsi="Nimbus Roman No9 L" w:eastAsia="仿宋_GB2312" w:cs="Nimbus Roman No9 L"/>
          <w:b w:val="0"/>
          <w:bCs w:val="0"/>
          <w:color w:val="auto"/>
          <w:sz w:val="32"/>
          <w:szCs w:val="32"/>
          <w:lang w:eastAsia="zh-CN"/>
        </w:rPr>
        <w:t>支持对象包括：</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支持项目的实施时限为202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年1月至202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年12月开工建设，且在202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年年底前资金全部支形成实物量并完成竣工验收的在建项目，能够投入使用产生效益。</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支持</w:t>
      </w:r>
      <w:r>
        <w:rPr>
          <w:rFonts w:hint="eastAsia" w:ascii="仿宋_GB2312" w:hAnsi="仿宋_GB2312" w:eastAsia="仿宋_GB2312" w:cs="仿宋_GB2312"/>
          <w:b w:val="0"/>
          <w:bCs w:val="0"/>
          <w:color w:val="auto"/>
          <w:sz w:val="32"/>
          <w:szCs w:val="32"/>
        </w:rPr>
        <w:t>农产品市场保供</w:t>
      </w:r>
      <w:r>
        <w:rPr>
          <w:rFonts w:hint="eastAsia" w:ascii="仿宋_GB2312" w:hAnsi="仿宋_GB2312" w:eastAsia="仿宋_GB2312" w:cs="仿宋_GB2312"/>
          <w:b w:val="0"/>
          <w:bCs w:val="0"/>
          <w:color w:val="auto"/>
          <w:sz w:val="32"/>
          <w:szCs w:val="32"/>
          <w:lang w:eastAsia="zh-CN"/>
        </w:rPr>
        <w:t>企业为</w:t>
      </w:r>
      <w:r>
        <w:rPr>
          <w:rFonts w:hint="eastAsia" w:ascii="仿宋_GB2312" w:hAnsi="仿宋_GB2312" w:eastAsia="仿宋_GB2312" w:cs="仿宋_GB2312"/>
          <w:b w:val="0"/>
          <w:bCs w:val="0"/>
          <w:color w:val="auto"/>
          <w:sz w:val="32"/>
          <w:szCs w:val="32"/>
          <w:lang w:val="en-US" w:eastAsia="zh-CN"/>
        </w:rPr>
        <w:t>2022年以来商务部门认定的保供企业。</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七</w:t>
      </w:r>
      <w:r>
        <w:rPr>
          <w:rFonts w:hint="eastAsia" w:ascii="仿宋_GB2312" w:hAnsi="仿宋_GB2312" w:eastAsia="仿宋_GB2312" w:cs="仿宋_GB2312"/>
          <w:b w:val="0"/>
          <w:bCs w:val="0"/>
          <w:color w:val="auto"/>
          <w:sz w:val="32"/>
          <w:szCs w:val="32"/>
        </w:rPr>
        <w:t>条</w:t>
      </w:r>
      <w:r>
        <w:rPr>
          <w:rFonts w:hint="eastAsia" w:ascii="黑体" w:hAnsi="黑体" w:eastAsia="黑体" w:cs="黑体"/>
          <w:b w:val="0"/>
          <w:bCs w:val="0"/>
          <w:color w:val="auto"/>
          <w:sz w:val="32"/>
          <w:szCs w:val="32"/>
        </w:rPr>
        <w:t xml:space="preserve"> </w:t>
      </w:r>
      <w:r>
        <w:rPr>
          <w:rFonts w:hint="eastAsia" w:ascii="仿宋_GB2312" w:hAnsi="仿宋_GB2312" w:eastAsia="仿宋_GB2312" w:cs="仿宋_GB2312"/>
          <w:b w:val="0"/>
          <w:bCs w:val="0"/>
          <w:color w:val="auto"/>
          <w:sz w:val="32"/>
          <w:szCs w:val="32"/>
          <w:lang w:eastAsia="zh-CN"/>
        </w:rPr>
        <w:t>项目支持标准</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单个项目支持比例不超过年度实际有效投资额的30%。</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提高冷链物流重点干支线配送效率的项目，单个项目实际有效投资额不低于1000万元，投资额5000万元（含）以下的，支持额度不超过1000万元；投资额5000万元以上的，支持额度不超过1500万元。</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（三）统筹支持农产品市场保供企业，每家支持不超过50万元，疫情保供方向中央财政资金支持比例不得高于当地获得中央财政资金支持总额的10%。</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八</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支持方式。专项资金采</w:t>
      </w:r>
      <w:r>
        <w:rPr>
          <w:rFonts w:hint="eastAsia" w:ascii="Nimbus Roman No9 L" w:hAnsi="Nimbus Roman No9 L" w:eastAsia="仿宋_GB2312" w:cs="Nimbus Roman No9 L"/>
          <w:b w:val="0"/>
          <w:bCs w:val="0"/>
          <w:color w:val="auto"/>
          <w:sz w:val="32"/>
          <w:szCs w:val="32"/>
        </w:rPr>
        <w:t>用以事后绩效评价结果为依据的“以奖代补”方式对符合要求的项目予以支持。</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rPr>
      </w:pP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第三章 </w:t>
      </w:r>
      <w:r>
        <w:rPr>
          <w:rFonts w:hint="eastAsia" w:ascii="黑体" w:hAnsi="黑体" w:eastAsia="黑体" w:cs="黑体"/>
          <w:b w:val="0"/>
          <w:bCs w:val="0"/>
          <w:color w:val="auto"/>
          <w:sz w:val="32"/>
          <w:szCs w:val="32"/>
          <w:lang w:eastAsia="zh-CN"/>
        </w:rPr>
        <w:t>资金申请</w:t>
      </w:r>
      <w:r>
        <w:rPr>
          <w:rFonts w:hint="eastAsia" w:ascii="黑体" w:hAnsi="黑体" w:eastAsia="黑体" w:cs="黑体"/>
          <w:b w:val="0"/>
          <w:bCs w:val="0"/>
          <w:color w:val="auto"/>
          <w:sz w:val="32"/>
          <w:szCs w:val="32"/>
        </w:rPr>
        <w:t>、项目实施及资金拨付</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九</w:t>
      </w:r>
      <w:r>
        <w:rPr>
          <w:rFonts w:hint="eastAsia" w:ascii="仿宋_GB2312" w:hAnsi="仿宋_GB2312" w:eastAsia="仿宋_GB2312" w:cs="仿宋_GB2312"/>
          <w:b w:val="0"/>
          <w:bCs w:val="0"/>
          <w:color w:val="auto"/>
          <w:sz w:val="32"/>
          <w:szCs w:val="32"/>
        </w:rPr>
        <w:t>条</w:t>
      </w:r>
      <w:r>
        <w:rPr>
          <w:rFonts w:hint="eastAsia" w:ascii="黑体" w:hAnsi="黑体" w:eastAsia="黑体" w:cs="黑体"/>
          <w:b w:val="0"/>
          <w:bCs w:val="0"/>
          <w:color w:val="auto"/>
          <w:sz w:val="32"/>
          <w:szCs w:val="32"/>
        </w:rPr>
        <w:t xml:space="preserve"> </w:t>
      </w:r>
      <w:r>
        <w:rPr>
          <w:rFonts w:hint="eastAsia" w:ascii="Nimbus Roman No9 L" w:hAnsi="Nimbus Roman No9 L" w:eastAsia="仿宋_GB2312" w:cs="Nimbus Roman No9 L"/>
          <w:b w:val="0"/>
          <w:bCs w:val="0"/>
          <w:color w:val="auto"/>
          <w:sz w:val="32"/>
          <w:szCs w:val="32"/>
        </w:rPr>
        <w:t>申报</w:t>
      </w:r>
      <w:r>
        <w:rPr>
          <w:rFonts w:hint="eastAsia" w:ascii="Nimbus Roman No9 L" w:hAnsi="Nimbus Roman No9 L" w:eastAsia="仿宋_GB2312" w:cs="Nimbus Roman No9 L"/>
          <w:b w:val="0"/>
          <w:bCs w:val="0"/>
          <w:color w:val="auto"/>
          <w:sz w:val="32"/>
          <w:szCs w:val="32"/>
          <w:lang w:eastAsia="zh-CN"/>
        </w:rPr>
        <w:t>伊春</w:t>
      </w:r>
      <w:r>
        <w:rPr>
          <w:rFonts w:hint="eastAsia" w:ascii="Nimbus Roman No9 L" w:hAnsi="Nimbus Roman No9 L" w:eastAsia="仿宋_GB2312" w:cs="Nimbus Roman No9 L"/>
          <w:b w:val="0"/>
          <w:bCs w:val="0"/>
          <w:color w:val="auto"/>
          <w:sz w:val="32"/>
          <w:szCs w:val="32"/>
        </w:rPr>
        <w:t>市农产品供链体系建设试点项目支持资金的单位应具备下列条件：</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（一）有独立、健全的财务核算和管理制度，财务管理规范，信誉及财务状况良好，取得开展相关业务的资格。</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（二）基础设施建设项目审批、规划、土地、环保等手续齐全，建设资金落实的新建或改扩建项目。</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（三）按照“择优不重复”原则，同一建设内容，中央财政资金不得重复申请；已获得2019年农商互联完善农产品供应链、2022年县域商业建设行动中央财政资金支持的项目不得重复申请。</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rPr>
      </w:pPr>
      <w:r>
        <w:rPr>
          <w:rFonts w:hint="eastAsia" w:ascii="仿宋_GB2312" w:hAnsi="仿宋_GB2312" w:eastAsia="仿宋_GB2312" w:cs="仿宋_GB2312"/>
          <w:b w:val="0"/>
          <w:bCs w:val="0"/>
          <w:color w:val="auto"/>
          <w:sz w:val="32"/>
          <w:szCs w:val="32"/>
          <w:lang w:eastAsia="zh-CN"/>
        </w:rPr>
        <w:t>（四）近3年内发生过安全生产事故、被列入严重</w:t>
      </w:r>
      <w:r>
        <w:rPr>
          <w:rFonts w:hint="eastAsia" w:ascii="Nimbus Roman No9 L" w:hAnsi="Nimbus Roman No9 L" w:eastAsia="仿宋_GB2312" w:cs="Nimbus Roman No9 L"/>
          <w:b w:val="0"/>
          <w:bCs w:val="0"/>
          <w:color w:val="auto"/>
          <w:sz w:val="32"/>
          <w:szCs w:val="32"/>
        </w:rPr>
        <w:t>失信主体“黑名单”、因破坏市场经济秩序受到财政处罚处分的企业和单位，不纳入支持范围。</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十</w:t>
      </w:r>
      <w:r>
        <w:rPr>
          <w:rFonts w:hint="eastAsia" w:ascii="仿宋_GB2312" w:hAnsi="仿宋_GB2312" w:eastAsia="仿宋_GB2312" w:cs="仿宋_GB2312"/>
          <w:b w:val="0"/>
          <w:bCs w:val="0"/>
          <w:color w:val="auto"/>
          <w:sz w:val="32"/>
          <w:szCs w:val="32"/>
        </w:rPr>
        <w:t>条 项目实施管理</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rPr>
      </w:pPr>
      <w:r>
        <w:rPr>
          <w:rFonts w:hint="eastAsia" w:ascii="Nimbus Roman No9 L" w:hAnsi="Nimbus Roman No9 L" w:eastAsia="仿宋_GB2312" w:cs="Nimbus Roman No9 L"/>
          <w:b w:val="0"/>
          <w:bCs w:val="0"/>
          <w:color w:val="auto"/>
          <w:sz w:val="32"/>
          <w:szCs w:val="32"/>
        </w:rPr>
        <w:t>（一）</w:t>
      </w:r>
      <w:r>
        <w:rPr>
          <w:rFonts w:hint="eastAsia" w:ascii="Nimbus Roman No9 L" w:hAnsi="Nimbus Roman No9 L" w:eastAsia="仿宋_GB2312" w:cs="Nimbus Roman No9 L"/>
          <w:b w:val="0"/>
          <w:bCs w:val="0"/>
          <w:color w:val="auto"/>
          <w:sz w:val="32"/>
          <w:szCs w:val="32"/>
          <w:lang w:eastAsia="zh-CN"/>
        </w:rPr>
        <w:t>项目所在</w:t>
      </w:r>
      <w:r>
        <w:rPr>
          <w:rFonts w:hint="eastAsia" w:ascii="Nimbus Roman No9 L" w:hAnsi="Nimbus Roman No9 L" w:eastAsia="仿宋_GB2312" w:cs="Nimbus Roman No9 L"/>
          <w:b w:val="0"/>
          <w:bCs w:val="0"/>
          <w:color w:val="auto"/>
          <w:sz w:val="32"/>
          <w:szCs w:val="32"/>
        </w:rPr>
        <w:t>县（</w:t>
      </w:r>
      <w:r>
        <w:rPr>
          <w:rFonts w:hint="eastAsia" w:ascii="Nimbus Roman No9 L" w:hAnsi="Nimbus Roman No9 L" w:eastAsia="仿宋_GB2312" w:cs="Nimbus Roman No9 L"/>
          <w:b w:val="0"/>
          <w:bCs w:val="0"/>
          <w:color w:val="auto"/>
          <w:sz w:val="32"/>
          <w:szCs w:val="32"/>
          <w:lang w:eastAsia="zh-CN"/>
        </w:rPr>
        <w:t>区</w:t>
      </w:r>
      <w:r>
        <w:rPr>
          <w:rFonts w:hint="eastAsia" w:ascii="Nimbus Roman No9 L" w:hAnsi="Nimbus Roman No9 L" w:eastAsia="仿宋_GB2312" w:cs="Nimbus Roman No9 L"/>
          <w:b w:val="0"/>
          <w:bCs w:val="0"/>
          <w:color w:val="auto"/>
          <w:sz w:val="32"/>
          <w:szCs w:val="32"/>
        </w:rPr>
        <w:t>）商务主管部门负责支持项目的实施和管理，跟踪项目执行情况，组织协调并处理项目执行中出现的相关问题，总结试点工作的做法经验。</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rPr>
      </w:pPr>
      <w:r>
        <w:rPr>
          <w:rFonts w:hint="eastAsia" w:ascii="Nimbus Roman No9 L" w:hAnsi="Nimbus Roman No9 L" w:eastAsia="仿宋_GB2312" w:cs="Nimbus Roman No9 L"/>
          <w:b w:val="0"/>
          <w:bCs w:val="0"/>
          <w:color w:val="auto"/>
          <w:sz w:val="32"/>
          <w:szCs w:val="32"/>
        </w:rPr>
        <w:t>（二）项目单位按照申报方案的目标任务推进支持项目建设，并按要求定期向</w:t>
      </w:r>
      <w:r>
        <w:rPr>
          <w:rFonts w:hint="eastAsia" w:ascii="Nimbus Roman No9 L" w:hAnsi="Nimbus Roman No9 L" w:eastAsia="仿宋_GB2312" w:cs="Nimbus Roman No9 L"/>
          <w:b w:val="0"/>
          <w:bCs w:val="0"/>
          <w:color w:val="auto"/>
          <w:sz w:val="32"/>
          <w:szCs w:val="32"/>
          <w:lang w:eastAsia="zh-CN"/>
        </w:rPr>
        <w:t>项目所在</w:t>
      </w:r>
      <w:r>
        <w:rPr>
          <w:rFonts w:hint="eastAsia" w:ascii="Nimbus Roman No9 L" w:hAnsi="Nimbus Roman No9 L" w:eastAsia="仿宋_GB2312" w:cs="Nimbus Roman No9 L"/>
          <w:b w:val="0"/>
          <w:bCs w:val="0"/>
          <w:color w:val="auto"/>
          <w:sz w:val="32"/>
          <w:szCs w:val="32"/>
        </w:rPr>
        <w:t>县（</w:t>
      </w:r>
      <w:r>
        <w:rPr>
          <w:rFonts w:hint="eastAsia" w:ascii="Nimbus Roman No9 L" w:hAnsi="Nimbus Roman No9 L" w:eastAsia="仿宋_GB2312" w:cs="Nimbus Roman No9 L"/>
          <w:b w:val="0"/>
          <w:bCs w:val="0"/>
          <w:color w:val="auto"/>
          <w:sz w:val="32"/>
          <w:szCs w:val="32"/>
          <w:lang w:eastAsia="zh-CN"/>
        </w:rPr>
        <w:t>区</w:t>
      </w:r>
      <w:r>
        <w:rPr>
          <w:rFonts w:hint="eastAsia" w:ascii="Nimbus Roman No9 L" w:hAnsi="Nimbus Roman No9 L" w:eastAsia="仿宋_GB2312" w:cs="Nimbus Roman No9 L"/>
          <w:b w:val="0"/>
          <w:bCs w:val="0"/>
          <w:color w:val="auto"/>
          <w:sz w:val="32"/>
          <w:szCs w:val="32"/>
        </w:rPr>
        <w:t>）商务主管部门报告支持项目完成情况和资金投入情况。</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rPr>
      </w:pPr>
      <w:r>
        <w:rPr>
          <w:rFonts w:hint="eastAsia" w:ascii="Nimbus Roman No9 L" w:hAnsi="Nimbus Roman No9 L" w:eastAsia="仿宋_GB2312" w:cs="Nimbus Roman No9 L"/>
          <w:b w:val="0"/>
          <w:bCs w:val="0"/>
          <w:color w:val="auto"/>
          <w:sz w:val="32"/>
          <w:szCs w:val="32"/>
        </w:rPr>
        <w:t>（三）项目单位要对支持项目总投资进行单列科目核算，并配合第三方评审机构进行验收审计，自觉接受监督检查。</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Nimbus Roman No9 L" w:hAnsi="Nimbus Roman No9 L" w:eastAsia="仿宋_GB2312" w:cs="Nimbus Roman No9 L"/>
          <w:b w:val="0"/>
          <w:bCs w:val="0"/>
          <w:color w:val="auto"/>
          <w:sz w:val="32"/>
          <w:szCs w:val="32"/>
        </w:rPr>
        <w:t>（四）项目在实施过</w:t>
      </w:r>
      <w:r>
        <w:rPr>
          <w:rFonts w:hint="eastAsia" w:ascii="仿宋_GB2312" w:hAnsi="仿宋_GB2312" w:eastAsia="仿宋_GB2312" w:cs="仿宋_GB2312"/>
          <w:b w:val="0"/>
          <w:bCs w:val="0"/>
          <w:color w:val="auto"/>
          <w:sz w:val="32"/>
          <w:szCs w:val="32"/>
          <w:lang w:eastAsia="zh-CN"/>
        </w:rPr>
        <w:t>程中因不可抗力等客观情况发生变化，需要变更或撤销的，项目单位应在有关情况发生后 7 个工作日内，向所在县区商务主管部门提出变更撤销申请。</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rPr>
      </w:pPr>
      <w:r>
        <w:rPr>
          <w:rFonts w:hint="eastAsia" w:ascii="Nimbus Roman No9 L" w:hAnsi="Nimbus Roman No9 L" w:eastAsia="仿宋_GB2312" w:cs="Nimbus Roman No9 L"/>
          <w:b w:val="0"/>
          <w:bCs w:val="0"/>
          <w:color w:val="auto"/>
          <w:sz w:val="32"/>
          <w:szCs w:val="32"/>
        </w:rPr>
        <w:t>第十三条 根</w:t>
      </w:r>
      <w:r>
        <w:rPr>
          <w:rFonts w:hint="eastAsia" w:ascii="仿宋_GB2312" w:hAnsi="仿宋_GB2312" w:eastAsia="仿宋_GB2312" w:cs="仿宋_GB2312"/>
          <w:b w:val="0"/>
          <w:bCs w:val="0"/>
          <w:color w:val="auto"/>
          <w:sz w:val="32"/>
          <w:szCs w:val="32"/>
          <w:lang w:eastAsia="zh-CN"/>
        </w:rPr>
        <w:t>据《财政部关于印发＜服务业发展资金管理办法＞的通知》（财建〔2023〕9号）等规定，中央财政补助资金专款专用，不得用于平衡本级财政预算及偿还债务，不得用于财政补助单位人员经费和工作经费、建设政府性楼堂馆所等明令禁止的相关项目及国家规定禁止列支的其他支出；对已</w:t>
      </w:r>
      <w:r>
        <w:rPr>
          <w:rFonts w:hint="eastAsia" w:ascii="Nimbus Roman No9 L" w:hAnsi="Nimbus Roman No9 L" w:eastAsia="仿宋_GB2312" w:cs="Nimbus Roman No9 L"/>
          <w:b w:val="0"/>
          <w:bCs w:val="0"/>
          <w:color w:val="auto"/>
          <w:sz w:val="32"/>
          <w:szCs w:val="32"/>
        </w:rPr>
        <w:t>从其他渠道获得中央财政资金支持的项目，不得重复申请资金支持。</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十一</w:t>
      </w:r>
      <w:r>
        <w:rPr>
          <w:rFonts w:hint="eastAsia" w:ascii="仿宋_GB2312" w:hAnsi="仿宋_GB2312" w:eastAsia="仿宋_GB2312" w:cs="仿宋_GB2312"/>
          <w:b w:val="0"/>
          <w:bCs w:val="0"/>
          <w:color w:val="auto"/>
          <w:sz w:val="32"/>
          <w:szCs w:val="32"/>
        </w:rPr>
        <w:t>条 项目验收与资金拨付</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rPr>
      </w:pPr>
      <w:r>
        <w:rPr>
          <w:rFonts w:hint="eastAsia" w:ascii="楷体_GB2312" w:hAnsi="楷体_GB2312" w:eastAsia="楷体_GB2312" w:cs="楷体_GB2312"/>
          <w:b w:val="0"/>
          <w:bCs w:val="0"/>
          <w:color w:val="auto"/>
          <w:sz w:val="32"/>
          <w:szCs w:val="32"/>
        </w:rPr>
        <w:t>（一）申请验收。</w:t>
      </w:r>
      <w:r>
        <w:rPr>
          <w:rFonts w:hint="eastAsia" w:ascii="Nimbus Roman No9 L" w:hAnsi="Nimbus Roman No9 L" w:eastAsia="仿宋_GB2312" w:cs="Nimbus Roman No9 L"/>
          <w:b w:val="0"/>
          <w:bCs w:val="0"/>
          <w:color w:val="auto"/>
          <w:sz w:val="32"/>
          <w:szCs w:val="32"/>
        </w:rPr>
        <w:t>承建企业按照</w:t>
      </w:r>
      <w:r>
        <w:rPr>
          <w:rFonts w:hint="eastAsia" w:ascii="Nimbus Roman No9 L" w:hAnsi="Nimbus Roman No9 L" w:eastAsia="仿宋_GB2312" w:cs="Nimbus Roman No9 L"/>
          <w:b w:val="0"/>
          <w:bCs w:val="0"/>
          <w:color w:val="auto"/>
          <w:sz w:val="32"/>
          <w:szCs w:val="32"/>
          <w:lang w:eastAsia="zh-CN"/>
        </w:rPr>
        <w:t>实施方案</w:t>
      </w:r>
      <w:r>
        <w:rPr>
          <w:rFonts w:hint="eastAsia" w:ascii="Nimbus Roman No9 L" w:hAnsi="Nimbus Roman No9 L" w:eastAsia="仿宋_GB2312" w:cs="Nimbus Roman No9 L"/>
          <w:b w:val="0"/>
          <w:bCs w:val="0"/>
          <w:color w:val="auto"/>
          <w:sz w:val="32"/>
          <w:szCs w:val="32"/>
        </w:rPr>
        <w:t>确定的建设内容及进度安排，可以在完成</w:t>
      </w:r>
      <w:r>
        <w:rPr>
          <w:rFonts w:hint="eastAsia" w:ascii="Nimbus Roman No9 L" w:hAnsi="Nimbus Roman No9 L" w:eastAsia="仿宋_GB2312" w:cs="Nimbus Roman No9 L"/>
          <w:b w:val="0"/>
          <w:bCs w:val="0"/>
          <w:color w:val="auto"/>
          <w:sz w:val="32"/>
          <w:szCs w:val="32"/>
          <w:lang w:eastAsia="zh-CN"/>
        </w:rPr>
        <w:t>“</w:t>
      </w:r>
      <w:r>
        <w:rPr>
          <w:rFonts w:hint="eastAsia" w:ascii="Nimbus Roman No9 L" w:hAnsi="Nimbus Roman No9 L" w:eastAsia="仿宋_GB2312" w:cs="Nimbus Roman No9 L"/>
          <w:b w:val="0"/>
          <w:bCs w:val="0"/>
          <w:color w:val="auto"/>
          <w:sz w:val="32"/>
          <w:szCs w:val="32"/>
        </w:rPr>
        <w:t>项目清单</w:t>
      </w:r>
      <w:r>
        <w:rPr>
          <w:rFonts w:hint="eastAsia" w:ascii="Nimbus Roman No9 L" w:hAnsi="Nimbus Roman No9 L" w:eastAsia="仿宋_GB2312" w:cs="Nimbus Roman No9 L"/>
          <w:b w:val="0"/>
          <w:bCs w:val="0"/>
          <w:color w:val="auto"/>
          <w:sz w:val="32"/>
          <w:szCs w:val="32"/>
          <w:lang w:eastAsia="zh-CN"/>
        </w:rPr>
        <w:t>”</w:t>
      </w:r>
      <w:r>
        <w:rPr>
          <w:rFonts w:hint="eastAsia" w:ascii="Nimbus Roman No9 L" w:hAnsi="Nimbus Roman No9 L" w:eastAsia="仿宋_GB2312" w:cs="Nimbus Roman No9 L"/>
          <w:b w:val="0"/>
          <w:bCs w:val="0"/>
          <w:color w:val="auto"/>
          <w:sz w:val="32"/>
          <w:szCs w:val="32"/>
        </w:rPr>
        <w:t>内容中单个项目建设后，向</w:t>
      </w:r>
      <w:r>
        <w:rPr>
          <w:rFonts w:hint="eastAsia" w:ascii="Nimbus Roman No9 L" w:hAnsi="Nimbus Roman No9 L" w:eastAsia="仿宋_GB2312" w:cs="Nimbus Roman No9 L"/>
          <w:b w:val="0"/>
          <w:bCs w:val="0"/>
          <w:color w:val="auto"/>
          <w:sz w:val="32"/>
          <w:szCs w:val="32"/>
          <w:lang w:eastAsia="zh-CN"/>
        </w:rPr>
        <w:t>项目所在</w:t>
      </w:r>
      <w:r>
        <w:rPr>
          <w:rFonts w:hint="eastAsia" w:ascii="Nimbus Roman No9 L" w:hAnsi="Nimbus Roman No9 L" w:eastAsia="仿宋_GB2312" w:cs="Nimbus Roman No9 L"/>
          <w:b w:val="0"/>
          <w:bCs w:val="0"/>
          <w:color w:val="auto"/>
          <w:sz w:val="32"/>
          <w:szCs w:val="32"/>
        </w:rPr>
        <w:t>县（</w:t>
      </w:r>
      <w:r>
        <w:rPr>
          <w:rFonts w:hint="eastAsia" w:ascii="Nimbus Roman No9 L" w:hAnsi="Nimbus Roman No9 L" w:eastAsia="仿宋_GB2312" w:cs="Nimbus Roman No9 L"/>
          <w:b w:val="0"/>
          <w:bCs w:val="0"/>
          <w:color w:val="auto"/>
          <w:sz w:val="32"/>
          <w:szCs w:val="32"/>
          <w:lang w:eastAsia="zh-CN"/>
        </w:rPr>
        <w:t>区</w:t>
      </w:r>
      <w:r>
        <w:rPr>
          <w:rFonts w:hint="eastAsia" w:ascii="Nimbus Roman No9 L" w:hAnsi="Nimbus Roman No9 L" w:eastAsia="仿宋_GB2312" w:cs="Nimbus Roman No9 L"/>
          <w:b w:val="0"/>
          <w:bCs w:val="0"/>
          <w:color w:val="auto"/>
          <w:sz w:val="32"/>
          <w:szCs w:val="32"/>
        </w:rPr>
        <w:t>）商务主管部门提出验收申请。</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lang w:eastAsia="zh-CN"/>
        </w:rPr>
      </w:pPr>
      <w:r>
        <w:rPr>
          <w:rFonts w:hint="eastAsia" w:ascii="楷体_GB2312" w:hAnsi="楷体_GB2312" w:eastAsia="楷体_GB2312" w:cs="楷体_GB2312"/>
          <w:b w:val="0"/>
          <w:bCs w:val="0"/>
          <w:color w:val="auto"/>
          <w:sz w:val="32"/>
          <w:szCs w:val="32"/>
        </w:rPr>
        <w:t>（二）组织验收。</w:t>
      </w:r>
      <w:r>
        <w:rPr>
          <w:rFonts w:hint="eastAsia" w:ascii="Nimbus Roman No9 L" w:hAnsi="Nimbus Roman No9 L" w:eastAsia="仿宋_GB2312" w:cs="Nimbus Roman No9 L"/>
          <w:b w:val="0"/>
          <w:bCs w:val="0"/>
          <w:color w:val="auto"/>
          <w:sz w:val="32"/>
          <w:szCs w:val="32"/>
        </w:rPr>
        <w:t>由</w:t>
      </w:r>
      <w:r>
        <w:rPr>
          <w:rFonts w:hint="eastAsia" w:ascii="Nimbus Roman No9 L" w:hAnsi="Nimbus Roman No9 L" w:eastAsia="仿宋_GB2312" w:cs="Nimbus Roman No9 L"/>
          <w:b w:val="0"/>
          <w:bCs w:val="0"/>
          <w:color w:val="auto"/>
          <w:sz w:val="32"/>
          <w:szCs w:val="32"/>
          <w:lang w:eastAsia="zh-CN"/>
        </w:rPr>
        <w:t>项目所在</w:t>
      </w:r>
      <w:r>
        <w:rPr>
          <w:rFonts w:hint="eastAsia" w:ascii="Nimbus Roman No9 L" w:hAnsi="Nimbus Roman No9 L" w:eastAsia="仿宋_GB2312" w:cs="Nimbus Roman No9 L"/>
          <w:b w:val="0"/>
          <w:bCs w:val="0"/>
          <w:color w:val="auto"/>
          <w:sz w:val="32"/>
          <w:szCs w:val="32"/>
        </w:rPr>
        <w:t>县（</w:t>
      </w:r>
      <w:r>
        <w:rPr>
          <w:rFonts w:hint="eastAsia" w:ascii="Nimbus Roman No9 L" w:hAnsi="Nimbus Roman No9 L" w:eastAsia="仿宋_GB2312" w:cs="Nimbus Roman No9 L"/>
          <w:b w:val="0"/>
          <w:bCs w:val="0"/>
          <w:color w:val="auto"/>
          <w:sz w:val="32"/>
          <w:szCs w:val="32"/>
          <w:lang w:eastAsia="zh-CN"/>
        </w:rPr>
        <w:t>区</w:t>
      </w:r>
      <w:r>
        <w:rPr>
          <w:rFonts w:hint="eastAsia" w:ascii="Nimbus Roman No9 L" w:hAnsi="Nimbus Roman No9 L" w:eastAsia="仿宋_GB2312" w:cs="Nimbus Roman No9 L"/>
          <w:b w:val="0"/>
          <w:bCs w:val="0"/>
          <w:color w:val="auto"/>
          <w:sz w:val="32"/>
          <w:szCs w:val="32"/>
        </w:rPr>
        <w:t>）商务主管部门牵头组成联合验收工作小组或委托会计师事务所等第三方机构，对企业申请验收的项目进行验收。验收工作小组需对承建资质、建设周期、建设任务完成情况、项目有效投资额、投产达效等情况进行核验，有关成员须在验收意见书上签字确认验收结果，并出具验收合格报告</w:t>
      </w:r>
      <w:r>
        <w:rPr>
          <w:rFonts w:hint="eastAsia" w:ascii="Nimbus Roman No9 L" w:hAnsi="Nimbus Roman No9 L" w:eastAsia="仿宋_GB2312" w:cs="Nimbus Roman No9 L"/>
          <w:b w:val="0"/>
          <w:bCs w:val="0"/>
          <w:color w:val="auto"/>
          <w:sz w:val="32"/>
          <w:szCs w:val="32"/>
          <w:lang w:val="en-US" w:eastAsia="zh-CN"/>
        </w:rPr>
        <w:t>报</w:t>
      </w:r>
      <w:r>
        <w:rPr>
          <w:rFonts w:hint="eastAsia" w:ascii="Nimbus Roman No9 L" w:hAnsi="Nimbus Roman No9 L" w:eastAsia="仿宋_GB2312" w:cs="Nimbus Roman No9 L"/>
          <w:b w:val="0"/>
          <w:bCs w:val="0"/>
          <w:color w:val="auto"/>
          <w:sz w:val="32"/>
          <w:szCs w:val="32"/>
          <w:lang w:eastAsia="zh-CN"/>
        </w:rPr>
        <w:t>市商务局、</w:t>
      </w:r>
      <w:r>
        <w:rPr>
          <w:rFonts w:hint="eastAsia" w:ascii="Nimbus Roman No9 L" w:hAnsi="Nimbus Roman No9 L" w:eastAsia="仿宋_GB2312" w:cs="Nimbus Roman No9 L"/>
          <w:b w:val="0"/>
          <w:bCs w:val="0"/>
          <w:color w:val="auto"/>
          <w:sz w:val="32"/>
          <w:szCs w:val="32"/>
          <w:lang w:val="en-US" w:eastAsia="zh-CN"/>
        </w:rPr>
        <w:t>市财政局</w:t>
      </w:r>
      <w:r>
        <w:rPr>
          <w:rFonts w:hint="eastAsia" w:ascii="仿宋_GB2312" w:hAnsi="仿宋_GB2312" w:eastAsia="仿宋_GB2312" w:cs="仿宋_GB2312"/>
          <w:b w:val="0"/>
          <w:bCs w:val="0"/>
          <w:color w:val="auto"/>
          <w:sz w:val="32"/>
          <w:szCs w:val="32"/>
          <w:lang w:eastAsia="zh-CN"/>
        </w:rPr>
        <w:t>。</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（三）资金拨付。</w:t>
      </w:r>
      <w:r>
        <w:rPr>
          <w:rFonts w:hint="eastAsia" w:ascii="Nimbus Roman No9 L" w:hAnsi="Nimbus Roman No9 L" w:eastAsia="仿宋_GB2312" w:cs="Nimbus Roman No9 L"/>
          <w:b w:val="0"/>
          <w:bCs w:val="0"/>
          <w:color w:val="auto"/>
          <w:sz w:val="32"/>
          <w:szCs w:val="32"/>
        </w:rPr>
        <w:t>验收合格的项目，在</w:t>
      </w:r>
      <w:r>
        <w:rPr>
          <w:rFonts w:hint="eastAsia" w:ascii="Nimbus Roman No9 L" w:hAnsi="Nimbus Roman No9 L" w:eastAsia="仿宋_GB2312" w:cs="Nimbus Roman No9 L"/>
          <w:b w:val="0"/>
          <w:bCs w:val="0"/>
          <w:color w:val="auto"/>
          <w:sz w:val="32"/>
          <w:szCs w:val="32"/>
          <w:lang w:val="en-US" w:eastAsia="zh-CN"/>
        </w:rPr>
        <w:t>本级</w:t>
      </w:r>
      <w:r>
        <w:rPr>
          <w:rFonts w:hint="eastAsia" w:ascii="Nimbus Roman No9 L" w:hAnsi="Nimbus Roman No9 L" w:eastAsia="仿宋_GB2312" w:cs="Nimbus Roman No9 L"/>
          <w:b w:val="0"/>
          <w:bCs w:val="0"/>
          <w:color w:val="auto"/>
          <w:sz w:val="32"/>
          <w:szCs w:val="32"/>
        </w:rPr>
        <w:t>网站</w:t>
      </w:r>
      <w:r>
        <w:rPr>
          <w:rFonts w:hint="eastAsia" w:ascii="Nimbus Roman No9 L" w:hAnsi="Nimbus Roman No9 L" w:eastAsia="仿宋_GB2312" w:cs="Nimbus Roman No9 L"/>
          <w:b w:val="0"/>
          <w:bCs w:val="0"/>
          <w:color w:val="auto"/>
          <w:sz w:val="32"/>
          <w:szCs w:val="32"/>
          <w:lang w:eastAsia="zh-CN"/>
        </w:rPr>
        <w:t>“</w:t>
      </w:r>
      <w:r>
        <w:rPr>
          <w:rFonts w:hint="eastAsia" w:ascii="Nimbus Roman No9 L" w:hAnsi="Nimbus Roman No9 L" w:eastAsia="仿宋_GB2312" w:cs="Nimbus Roman No9 L"/>
          <w:b w:val="0"/>
          <w:bCs w:val="0"/>
          <w:color w:val="auto"/>
          <w:sz w:val="32"/>
          <w:szCs w:val="32"/>
        </w:rPr>
        <w:t>农产品供应链建设</w:t>
      </w:r>
      <w:r>
        <w:rPr>
          <w:rFonts w:hint="eastAsia" w:ascii="Nimbus Roman No9 L" w:hAnsi="Nimbus Roman No9 L" w:eastAsia="仿宋_GB2312" w:cs="Nimbus Roman No9 L"/>
          <w:b w:val="0"/>
          <w:bCs w:val="0"/>
          <w:color w:val="auto"/>
          <w:sz w:val="32"/>
          <w:szCs w:val="32"/>
          <w:lang w:eastAsia="zh-CN"/>
        </w:rPr>
        <w:t>”</w:t>
      </w:r>
      <w:r>
        <w:rPr>
          <w:rFonts w:hint="eastAsia" w:ascii="Nimbus Roman No9 L" w:hAnsi="Nimbus Roman No9 L" w:eastAsia="仿宋_GB2312" w:cs="Nimbus Roman No9 L"/>
          <w:b w:val="0"/>
          <w:bCs w:val="0"/>
          <w:color w:val="auto"/>
          <w:sz w:val="32"/>
          <w:szCs w:val="32"/>
        </w:rPr>
        <w:t>专栏公示</w:t>
      </w:r>
      <w:r>
        <w:rPr>
          <w:rFonts w:hint="eastAsia" w:ascii="仿宋_GB2312" w:hAnsi="仿宋_GB2312" w:eastAsia="仿宋_GB2312" w:cs="仿宋_GB2312"/>
          <w:b w:val="0"/>
          <w:bCs w:val="0"/>
          <w:color w:val="auto"/>
          <w:sz w:val="32"/>
          <w:szCs w:val="32"/>
          <w:lang w:val="en-US" w:eastAsia="zh-CN"/>
        </w:rPr>
        <w:t>5</w:t>
      </w:r>
      <w:r>
        <w:rPr>
          <w:rFonts w:hint="eastAsia" w:ascii="Nimbus Roman No9 L" w:hAnsi="Nimbus Roman No9 L" w:eastAsia="仿宋_GB2312" w:cs="Nimbus Roman No9 L"/>
          <w:b w:val="0"/>
          <w:bCs w:val="0"/>
          <w:color w:val="auto"/>
          <w:sz w:val="32"/>
          <w:szCs w:val="32"/>
        </w:rPr>
        <w:t>个工作日无异议后，各级按相关规定和标准，履行程序向项目承办单位拨</w:t>
      </w:r>
      <w:r>
        <w:rPr>
          <w:rFonts w:hint="eastAsia" w:ascii="仿宋_GB2312" w:hAnsi="仿宋_GB2312" w:eastAsia="仿宋_GB2312" w:cs="仿宋_GB2312"/>
          <w:b w:val="0"/>
          <w:bCs w:val="0"/>
          <w:color w:val="auto"/>
          <w:sz w:val="32"/>
          <w:szCs w:val="32"/>
        </w:rPr>
        <w:t>付专项补助资金</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须于2024年2月底前完成整体验收及资金拨付工作。</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第四章 绩效管理和财会监督</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十二</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各</w:t>
      </w:r>
      <w:r>
        <w:rPr>
          <w:rFonts w:hint="eastAsia" w:ascii="Nimbus Roman No9 L" w:hAnsi="Nimbus Roman No9 L" w:eastAsia="仿宋_GB2312" w:cs="Nimbus Roman No9 L"/>
          <w:b w:val="0"/>
          <w:bCs w:val="0"/>
          <w:color w:val="auto"/>
          <w:sz w:val="32"/>
          <w:szCs w:val="32"/>
          <w:lang w:eastAsia="zh-CN"/>
        </w:rPr>
        <w:t>项目所在</w:t>
      </w:r>
      <w:r>
        <w:rPr>
          <w:rFonts w:hint="eastAsia" w:ascii="Nimbus Roman No9 L" w:hAnsi="Nimbus Roman No9 L" w:eastAsia="仿宋_GB2312" w:cs="Nimbus Roman No9 L"/>
          <w:b w:val="0"/>
          <w:bCs w:val="0"/>
          <w:color w:val="auto"/>
          <w:sz w:val="32"/>
          <w:szCs w:val="32"/>
        </w:rPr>
        <w:t>县（</w:t>
      </w:r>
      <w:r>
        <w:rPr>
          <w:rFonts w:hint="eastAsia" w:ascii="Nimbus Roman No9 L" w:hAnsi="Nimbus Roman No9 L" w:eastAsia="仿宋_GB2312" w:cs="Nimbus Roman No9 L"/>
          <w:b w:val="0"/>
          <w:bCs w:val="0"/>
          <w:color w:val="auto"/>
          <w:sz w:val="32"/>
          <w:szCs w:val="32"/>
          <w:lang w:eastAsia="zh-CN"/>
        </w:rPr>
        <w:t>区</w:t>
      </w:r>
      <w:r>
        <w:rPr>
          <w:rFonts w:hint="eastAsia" w:ascii="Nimbus Roman No9 L" w:hAnsi="Nimbus Roman No9 L" w:eastAsia="仿宋_GB2312" w:cs="Nimbus Roman No9 L"/>
          <w:b w:val="0"/>
          <w:bCs w:val="0"/>
          <w:color w:val="auto"/>
          <w:sz w:val="32"/>
          <w:szCs w:val="32"/>
        </w:rPr>
        <w:t>）</w:t>
      </w:r>
      <w:r>
        <w:rPr>
          <w:rFonts w:hint="eastAsia" w:ascii="仿宋_GB2312" w:hAnsi="仿宋_GB2312" w:eastAsia="仿宋_GB2312" w:cs="仿宋_GB2312"/>
          <w:b w:val="0"/>
          <w:bCs w:val="0"/>
          <w:color w:val="auto"/>
          <w:sz w:val="32"/>
          <w:szCs w:val="32"/>
        </w:rPr>
        <w:t>商务主管部门负责制定本地项目的绩效评价指标体系。</w:t>
      </w:r>
      <w:r>
        <w:rPr>
          <w:rFonts w:hint="eastAsia" w:ascii="仿宋_GB2312" w:hAnsi="仿宋_GB2312" w:eastAsia="仿宋_GB2312" w:cs="仿宋_GB2312"/>
          <w:b w:val="0"/>
          <w:bCs w:val="0"/>
          <w:color w:val="auto"/>
          <w:sz w:val="32"/>
          <w:szCs w:val="32"/>
          <w:lang w:eastAsia="zh-CN"/>
        </w:rPr>
        <w:t>各</w:t>
      </w:r>
      <w:r>
        <w:rPr>
          <w:rFonts w:hint="eastAsia" w:ascii="Nimbus Roman No9 L" w:hAnsi="Nimbus Roman No9 L" w:eastAsia="仿宋_GB2312" w:cs="Nimbus Roman No9 L"/>
          <w:b w:val="0"/>
          <w:bCs w:val="0"/>
          <w:color w:val="auto"/>
          <w:sz w:val="32"/>
          <w:szCs w:val="32"/>
          <w:lang w:eastAsia="zh-CN"/>
        </w:rPr>
        <w:t>项目所在</w:t>
      </w:r>
      <w:r>
        <w:rPr>
          <w:rFonts w:hint="eastAsia" w:ascii="Nimbus Roman No9 L" w:hAnsi="Nimbus Roman No9 L" w:eastAsia="仿宋_GB2312" w:cs="Nimbus Roman No9 L"/>
          <w:b w:val="0"/>
          <w:bCs w:val="0"/>
          <w:color w:val="auto"/>
          <w:sz w:val="32"/>
          <w:szCs w:val="32"/>
        </w:rPr>
        <w:t>县（</w:t>
      </w:r>
      <w:r>
        <w:rPr>
          <w:rFonts w:hint="eastAsia" w:ascii="Nimbus Roman No9 L" w:hAnsi="Nimbus Roman No9 L" w:eastAsia="仿宋_GB2312" w:cs="Nimbus Roman No9 L"/>
          <w:b w:val="0"/>
          <w:bCs w:val="0"/>
          <w:color w:val="auto"/>
          <w:sz w:val="32"/>
          <w:szCs w:val="32"/>
          <w:lang w:eastAsia="zh-CN"/>
        </w:rPr>
        <w:t>区</w:t>
      </w:r>
      <w:r>
        <w:rPr>
          <w:rFonts w:hint="eastAsia" w:ascii="Nimbus Roman No9 L" w:hAnsi="Nimbus Roman No9 L" w:eastAsia="仿宋_GB2312" w:cs="Nimbus Roman No9 L"/>
          <w:b w:val="0"/>
          <w:bCs w:val="0"/>
          <w:color w:val="auto"/>
          <w:sz w:val="32"/>
          <w:szCs w:val="32"/>
        </w:rPr>
        <w:t>）</w:t>
      </w:r>
      <w:r>
        <w:rPr>
          <w:rFonts w:hint="eastAsia" w:ascii="仿宋_GB2312" w:hAnsi="仿宋_GB2312" w:eastAsia="仿宋_GB2312" w:cs="仿宋_GB2312"/>
          <w:b w:val="0"/>
          <w:bCs w:val="0"/>
          <w:color w:val="auto"/>
          <w:sz w:val="32"/>
          <w:szCs w:val="32"/>
        </w:rPr>
        <w:t>商务部门、财政部门应当按规定对专项资金实施全过程预算绩效管理，强化绩效目标管理，做好绩效运行监控和绩效评价，并加强绩效评价结果运用。</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条 各</w:t>
      </w:r>
      <w:r>
        <w:rPr>
          <w:rFonts w:hint="eastAsia" w:ascii="Nimbus Roman No9 L" w:hAnsi="Nimbus Roman No9 L" w:eastAsia="仿宋_GB2312" w:cs="Nimbus Roman No9 L"/>
          <w:b w:val="0"/>
          <w:bCs w:val="0"/>
          <w:color w:val="auto"/>
          <w:sz w:val="32"/>
          <w:szCs w:val="32"/>
          <w:lang w:eastAsia="zh-CN"/>
        </w:rPr>
        <w:t>项目所在</w:t>
      </w:r>
      <w:r>
        <w:rPr>
          <w:rFonts w:hint="eastAsia" w:ascii="Nimbus Roman No9 L" w:hAnsi="Nimbus Roman No9 L" w:eastAsia="仿宋_GB2312" w:cs="Nimbus Roman No9 L"/>
          <w:b w:val="0"/>
          <w:bCs w:val="0"/>
          <w:color w:val="auto"/>
          <w:sz w:val="32"/>
          <w:szCs w:val="32"/>
        </w:rPr>
        <w:t>县（</w:t>
      </w:r>
      <w:r>
        <w:rPr>
          <w:rFonts w:hint="eastAsia" w:ascii="Nimbus Roman No9 L" w:hAnsi="Nimbus Roman No9 L" w:eastAsia="仿宋_GB2312" w:cs="Nimbus Roman No9 L"/>
          <w:b w:val="0"/>
          <w:bCs w:val="0"/>
          <w:color w:val="auto"/>
          <w:sz w:val="32"/>
          <w:szCs w:val="32"/>
          <w:lang w:eastAsia="zh-CN"/>
        </w:rPr>
        <w:t>区</w:t>
      </w:r>
      <w:r>
        <w:rPr>
          <w:rFonts w:hint="eastAsia" w:ascii="Nimbus Roman No9 L" w:hAnsi="Nimbus Roman No9 L" w:eastAsia="仿宋_GB2312" w:cs="Nimbus Roman No9 L"/>
          <w:b w:val="0"/>
          <w:bCs w:val="0"/>
          <w:color w:val="auto"/>
          <w:sz w:val="32"/>
          <w:szCs w:val="32"/>
        </w:rPr>
        <w:t>）</w:t>
      </w:r>
      <w:r>
        <w:rPr>
          <w:rFonts w:hint="eastAsia" w:ascii="仿宋_GB2312" w:hAnsi="仿宋_GB2312" w:eastAsia="仿宋_GB2312" w:cs="仿宋_GB2312"/>
          <w:b w:val="0"/>
          <w:bCs w:val="0"/>
          <w:color w:val="auto"/>
          <w:sz w:val="32"/>
          <w:szCs w:val="32"/>
        </w:rPr>
        <w:t>商务主管部门于每个季度首月10日前将上季度项目进展情况报</w:t>
      </w:r>
      <w:r>
        <w:rPr>
          <w:rFonts w:hint="eastAsia" w:ascii="仿宋_GB2312" w:hAnsi="仿宋_GB2312" w:eastAsia="仿宋_GB2312" w:cs="仿宋_GB2312"/>
          <w:b w:val="0"/>
          <w:bCs w:val="0"/>
          <w:color w:val="auto"/>
          <w:sz w:val="32"/>
          <w:szCs w:val="32"/>
          <w:lang w:eastAsia="zh-CN"/>
        </w:rPr>
        <w:t>市商务局</w:t>
      </w:r>
      <w:r>
        <w:rPr>
          <w:rFonts w:hint="eastAsia" w:ascii="仿宋_GB2312" w:hAnsi="仿宋_GB2312" w:eastAsia="仿宋_GB2312" w:cs="仿宋_GB2312"/>
          <w:b w:val="0"/>
          <w:bCs w:val="0"/>
          <w:color w:val="auto"/>
          <w:sz w:val="32"/>
          <w:szCs w:val="32"/>
        </w:rPr>
        <w:t>，并于202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2月底前完成本地项目的绩效评价工作。</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w:t>
      </w:r>
      <w:r>
        <w:rPr>
          <w:rFonts w:hint="eastAsia" w:ascii="仿宋_GB2312" w:hAnsi="仿宋_GB2312" w:eastAsia="仿宋_GB2312" w:cs="仿宋_GB2312"/>
          <w:b w:val="0"/>
          <w:bCs w:val="0"/>
          <w:color w:val="auto"/>
          <w:sz w:val="32"/>
          <w:szCs w:val="32"/>
          <w:lang w:eastAsia="zh-CN"/>
        </w:rPr>
        <w:t>四</w:t>
      </w:r>
      <w:r>
        <w:rPr>
          <w:rFonts w:hint="eastAsia" w:ascii="仿宋_GB2312" w:hAnsi="仿宋_GB2312" w:eastAsia="仿宋_GB2312" w:cs="仿宋_GB2312"/>
          <w:b w:val="0"/>
          <w:bCs w:val="0"/>
          <w:color w:val="auto"/>
          <w:sz w:val="32"/>
          <w:szCs w:val="32"/>
        </w:rPr>
        <w:t>条 完成绩效评价后，</w:t>
      </w:r>
      <w:r>
        <w:rPr>
          <w:rFonts w:hint="eastAsia" w:ascii="仿宋_GB2312" w:hAnsi="仿宋_GB2312" w:eastAsia="仿宋_GB2312" w:cs="仿宋_GB2312"/>
          <w:b w:val="0"/>
          <w:bCs w:val="0"/>
          <w:color w:val="auto"/>
          <w:sz w:val="32"/>
          <w:szCs w:val="32"/>
          <w:lang w:eastAsia="zh-CN"/>
        </w:rPr>
        <w:t>市商务局</w:t>
      </w:r>
      <w:r>
        <w:rPr>
          <w:rFonts w:hint="eastAsia" w:ascii="仿宋_GB2312" w:hAnsi="仿宋_GB2312" w:eastAsia="仿宋_GB2312" w:cs="仿宋_GB2312"/>
          <w:b w:val="0"/>
          <w:bCs w:val="0"/>
          <w:color w:val="auto"/>
          <w:sz w:val="32"/>
          <w:szCs w:val="32"/>
        </w:rPr>
        <w:t>将按相关要求，下达绩效评价问题整改通知，各</w:t>
      </w:r>
      <w:r>
        <w:rPr>
          <w:rFonts w:hint="eastAsia" w:ascii="仿宋_GB2312" w:hAnsi="仿宋_GB2312" w:eastAsia="仿宋_GB2312" w:cs="仿宋_GB2312"/>
          <w:b w:val="0"/>
          <w:bCs w:val="0"/>
          <w:color w:val="auto"/>
          <w:sz w:val="32"/>
          <w:szCs w:val="32"/>
          <w:lang w:eastAsia="zh-CN"/>
        </w:rPr>
        <w:t>项目所在地</w:t>
      </w:r>
      <w:r>
        <w:rPr>
          <w:rFonts w:hint="eastAsia" w:ascii="仿宋_GB2312" w:hAnsi="仿宋_GB2312" w:eastAsia="仿宋_GB2312" w:cs="仿宋_GB2312"/>
          <w:b w:val="0"/>
          <w:bCs w:val="0"/>
          <w:color w:val="auto"/>
          <w:sz w:val="32"/>
          <w:szCs w:val="32"/>
        </w:rPr>
        <w:t>要及时报送项目问题整改清单，建立整改工作台帐，整改完成一项、销号一项，在规定时间内将问题整改结果形成整改报告，报</w:t>
      </w:r>
      <w:r>
        <w:rPr>
          <w:rFonts w:hint="eastAsia" w:ascii="仿宋_GB2312" w:hAnsi="仿宋_GB2312" w:eastAsia="仿宋_GB2312" w:cs="仿宋_GB2312"/>
          <w:b w:val="0"/>
          <w:bCs w:val="0"/>
          <w:color w:val="auto"/>
          <w:sz w:val="32"/>
          <w:szCs w:val="32"/>
          <w:lang w:eastAsia="zh-CN"/>
        </w:rPr>
        <w:t>市商务局</w:t>
      </w:r>
      <w:r>
        <w:rPr>
          <w:rFonts w:hint="eastAsia" w:ascii="仿宋_GB2312" w:hAnsi="仿宋_GB2312" w:eastAsia="仿宋_GB2312" w:cs="仿宋_GB2312"/>
          <w:b w:val="0"/>
          <w:bCs w:val="0"/>
          <w:color w:val="auto"/>
          <w:sz w:val="32"/>
          <w:szCs w:val="32"/>
        </w:rPr>
        <w:t>备案。</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第十</w:t>
      </w:r>
      <w:r>
        <w:rPr>
          <w:rFonts w:hint="eastAsia" w:ascii="仿宋_GB2312" w:hAnsi="仿宋_GB2312" w:eastAsia="仿宋_GB2312" w:cs="仿宋_GB2312"/>
          <w:b w:val="0"/>
          <w:bCs w:val="0"/>
          <w:color w:val="auto"/>
          <w:sz w:val="32"/>
          <w:szCs w:val="32"/>
          <w:lang w:eastAsia="zh-CN"/>
        </w:rPr>
        <w:t>五</w:t>
      </w:r>
      <w:r>
        <w:rPr>
          <w:rFonts w:hint="eastAsia" w:ascii="仿宋_GB2312" w:hAnsi="仿宋_GB2312" w:eastAsia="仿宋_GB2312" w:cs="仿宋_GB2312"/>
          <w:b w:val="0"/>
          <w:bCs w:val="0"/>
          <w:color w:val="auto"/>
          <w:sz w:val="32"/>
          <w:szCs w:val="32"/>
        </w:rPr>
        <w:t xml:space="preserve">条 </w:t>
      </w:r>
      <w:r>
        <w:rPr>
          <w:rFonts w:hint="eastAsia" w:ascii="Nimbus Roman No9 L" w:hAnsi="Nimbus Roman No9 L" w:eastAsia="仿宋_GB2312" w:cs="Nimbus Roman No9 L"/>
          <w:b w:val="0"/>
          <w:bCs w:val="0"/>
          <w:color w:val="auto"/>
          <w:sz w:val="32"/>
          <w:szCs w:val="32"/>
          <w:lang w:eastAsia="zh-CN"/>
        </w:rPr>
        <w:t>项目所在</w:t>
      </w:r>
      <w:r>
        <w:rPr>
          <w:rFonts w:hint="eastAsia" w:ascii="Nimbus Roman No9 L" w:hAnsi="Nimbus Roman No9 L" w:eastAsia="仿宋_GB2312" w:cs="Nimbus Roman No9 L"/>
          <w:b w:val="0"/>
          <w:bCs w:val="0"/>
          <w:color w:val="auto"/>
          <w:sz w:val="32"/>
          <w:szCs w:val="32"/>
        </w:rPr>
        <w:t>县（</w:t>
      </w:r>
      <w:r>
        <w:rPr>
          <w:rFonts w:hint="eastAsia" w:ascii="Nimbus Roman No9 L" w:hAnsi="Nimbus Roman No9 L" w:eastAsia="仿宋_GB2312" w:cs="Nimbus Roman No9 L"/>
          <w:b w:val="0"/>
          <w:bCs w:val="0"/>
          <w:color w:val="auto"/>
          <w:sz w:val="32"/>
          <w:szCs w:val="32"/>
          <w:lang w:eastAsia="zh-CN"/>
        </w:rPr>
        <w:t>区</w:t>
      </w:r>
      <w:r>
        <w:rPr>
          <w:rFonts w:hint="eastAsia" w:ascii="Nimbus Roman No9 L" w:hAnsi="Nimbus Roman No9 L" w:eastAsia="仿宋_GB2312" w:cs="Nimbus Roman No9 L"/>
          <w:b w:val="0"/>
          <w:bCs w:val="0"/>
          <w:color w:val="auto"/>
          <w:sz w:val="32"/>
          <w:szCs w:val="32"/>
        </w:rPr>
        <w:t>）</w:t>
      </w:r>
      <w:r>
        <w:rPr>
          <w:rFonts w:hint="eastAsia" w:ascii="仿宋_GB2312" w:hAnsi="仿宋_GB2312" w:eastAsia="仿宋_GB2312" w:cs="仿宋_GB2312"/>
          <w:b w:val="0"/>
          <w:bCs w:val="0"/>
          <w:color w:val="auto"/>
          <w:sz w:val="32"/>
          <w:szCs w:val="32"/>
        </w:rPr>
        <w:t>财政部门应建立项目建设台账制度，明确责任人和项目进展时限。项目承建企业收到资金后，应当按照国家财务、会计制度的有关规定进行专账账务处理，严格按照规定使用资金，按资金性质分别核算，自觉接受监督检查。项目建设完成后，项目承办企业须将中央财政资金使用形成的相关票据、资产台帐等内页资料复印后提交商务主管部门存档。获得专项资金支持的企业收到资金后，应当按照国家有关财务制定规定进行管理和使用，按照国家统一的会计制度进行会计核算，并自觉接受财政、商务、审计等部门的监督检查。</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rPr>
      </w:pPr>
      <w:r>
        <w:rPr>
          <w:rFonts w:hint="eastAsia" w:ascii="仿宋_GB2312" w:hAnsi="仿宋_GB2312" w:eastAsia="仿宋_GB2312" w:cs="仿宋_GB2312"/>
          <w:b w:val="0"/>
          <w:bCs w:val="0"/>
          <w:color w:val="auto"/>
          <w:sz w:val="32"/>
          <w:szCs w:val="32"/>
        </w:rPr>
        <w:t>第十</w:t>
      </w:r>
      <w:r>
        <w:rPr>
          <w:rFonts w:hint="eastAsia" w:ascii="仿宋_GB2312" w:hAnsi="仿宋_GB2312" w:eastAsia="仿宋_GB2312" w:cs="仿宋_GB2312"/>
          <w:b w:val="0"/>
          <w:bCs w:val="0"/>
          <w:color w:val="auto"/>
          <w:sz w:val="32"/>
          <w:szCs w:val="32"/>
          <w:lang w:eastAsia="zh-CN"/>
        </w:rPr>
        <w:t>六</w:t>
      </w:r>
      <w:r>
        <w:rPr>
          <w:rFonts w:hint="eastAsia" w:ascii="仿宋_GB2312" w:hAnsi="仿宋_GB2312" w:eastAsia="仿宋_GB2312" w:cs="仿宋_GB2312"/>
          <w:b w:val="0"/>
          <w:bCs w:val="0"/>
          <w:color w:val="auto"/>
          <w:sz w:val="32"/>
          <w:szCs w:val="32"/>
        </w:rPr>
        <w:t xml:space="preserve">条 </w:t>
      </w:r>
      <w:r>
        <w:rPr>
          <w:rFonts w:hint="eastAsia" w:ascii="Nimbus Roman No9 L" w:hAnsi="Nimbus Roman No9 L" w:eastAsia="仿宋_GB2312" w:cs="Nimbus Roman No9 L"/>
          <w:b w:val="0"/>
          <w:bCs w:val="0"/>
          <w:color w:val="auto"/>
          <w:sz w:val="32"/>
          <w:szCs w:val="32"/>
          <w:lang w:eastAsia="zh-CN"/>
        </w:rPr>
        <w:t>项目所在</w:t>
      </w:r>
      <w:r>
        <w:rPr>
          <w:rFonts w:hint="eastAsia" w:ascii="Nimbus Roman No9 L" w:hAnsi="Nimbus Roman No9 L" w:eastAsia="仿宋_GB2312" w:cs="Nimbus Roman No9 L"/>
          <w:b w:val="0"/>
          <w:bCs w:val="0"/>
          <w:color w:val="auto"/>
          <w:sz w:val="32"/>
          <w:szCs w:val="32"/>
        </w:rPr>
        <w:t>县（</w:t>
      </w:r>
      <w:r>
        <w:rPr>
          <w:rFonts w:hint="eastAsia" w:ascii="Nimbus Roman No9 L" w:hAnsi="Nimbus Roman No9 L" w:eastAsia="仿宋_GB2312" w:cs="Nimbus Roman No9 L"/>
          <w:b w:val="0"/>
          <w:bCs w:val="0"/>
          <w:color w:val="auto"/>
          <w:sz w:val="32"/>
          <w:szCs w:val="32"/>
          <w:lang w:eastAsia="zh-CN"/>
        </w:rPr>
        <w:t>区</w:t>
      </w:r>
      <w:r>
        <w:rPr>
          <w:rFonts w:hint="eastAsia" w:ascii="Nimbus Roman No9 L" w:hAnsi="Nimbus Roman No9 L" w:eastAsia="仿宋_GB2312" w:cs="Nimbus Roman No9 L"/>
          <w:b w:val="0"/>
          <w:bCs w:val="0"/>
          <w:color w:val="auto"/>
          <w:sz w:val="32"/>
          <w:szCs w:val="32"/>
        </w:rPr>
        <w:t>）</w:t>
      </w:r>
      <w:r>
        <w:rPr>
          <w:rFonts w:hint="eastAsia" w:ascii="仿宋_GB2312" w:hAnsi="仿宋_GB2312" w:eastAsia="仿宋_GB2312" w:cs="仿宋_GB2312"/>
          <w:b w:val="0"/>
          <w:bCs w:val="0"/>
          <w:color w:val="auto"/>
          <w:sz w:val="32"/>
          <w:szCs w:val="32"/>
        </w:rPr>
        <w:t>商务部门、财政部门应当加强对专项资金的监督管理，</w:t>
      </w:r>
      <w:r>
        <w:rPr>
          <w:rFonts w:hint="eastAsia" w:ascii="Nimbus Roman No9 L" w:hAnsi="Nimbus Roman No9 L" w:eastAsia="仿宋_GB2312" w:cs="Nimbus Roman No9 L"/>
          <w:b w:val="0"/>
          <w:bCs w:val="0"/>
          <w:color w:val="auto"/>
          <w:sz w:val="32"/>
          <w:szCs w:val="32"/>
          <w:lang w:eastAsia="zh-CN"/>
        </w:rPr>
        <w:t>项目所在</w:t>
      </w:r>
      <w:r>
        <w:rPr>
          <w:rFonts w:hint="eastAsia" w:ascii="Nimbus Roman No9 L" w:hAnsi="Nimbus Roman No9 L" w:eastAsia="仿宋_GB2312" w:cs="Nimbus Roman No9 L"/>
          <w:b w:val="0"/>
          <w:bCs w:val="0"/>
          <w:color w:val="auto"/>
          <w:sz w:val="32"/>
          <w:szCs w:val="32"/>
        </w:rPr>
        <w:t>县（</w:t>
      </w:r>
      <w:r>
        <w:rPr>
          <w:rFonts w:hint="eastAsia" w:ascii="Nimbus Roman No9 L" w:hAnsi="Nimbus Roman No9 L" w:eastAsia="仿宋_GB2312" w:cs="Nimbus Roman No9 L"/>
          <w:b w:val="0"/>
          <w:bCs w:val="0"/>
          <w:color w:val="auto"/>
          <w:sz w:val="32"/>
          <w:szCs w:val="32"/>
          <w:lang w:eastAsia="zh-CN"/>
        </w:rPr>
        <w:t>区</w:t>
      </w:r>
      <w:r>
        <w:rPr>
          <w:rFonts w:hint="eastAsia" w:ascii="Nimbus Roman No9 L" w:hAnsi="Nimbus Roman No9 L" w:eastAsia="仿宋_GB2312" w:cs="Nimbus Roman No9 L"/>
          <w:b w:val="0"/>
          <w:bCs w:val="0"/>
          <w:color w:val="auto"/>
          <w:sz w:val="32"/>
          <w:szCs w:val="32"/>
        </w:rPr>
        <w:t>）</w:t>
      </w:r>
      <w:r>
        <w:rPr>
          <w:rFonts w:hint="eastAsia" w:ascii="仿宋_GB2312" w:hAnsi="仿宋_GB2312" w:eastAsia="仿宋_GB2312" w:cs="仿宋_GB2312"/>
          <w:b w:val="0"/>
          <w:bCs w:val="0"/>
          <w:color w:val="auto"/>
          <w:sz w:val="32"/>
          <w:szCs w:val="32"/>
        </w:rPr>
        <w:t>商务部门、财政部门、项目申报主体及其工作人员在专项资金项目审核、资金分配、项目执行过程中，存在违反本细则规定以及其他滥用职权、玩忽职守、徇私舞弊等违法违规行为的，依法追究相应责任。对于违反国家法律、行政法规和本细则的规定，以虚报、冒领等手段骗取专项资金的，</w:t>
      </w:r>
      <w:r>
        <w:rPr>
          <w:rFonts w:hint="eastAsia" w:ascii="仿宋_GB2312" w:hAnsi="仿宋_GB2312" w:eastAsia="仿宋_GB2312" w:cs="仿宋_GB2312"/>
          <w:b w:val="0"/>
          <w:bCs w:val="0"/>
          <w:color w:val="auto"/>
          <w:sz w:val="32"/>
          <w:szCs w:val="32"/>
          <w:lang w:eastAsia="zh-CN"/>
        </w:rPr>
        <w:t>市财政局</w:t>
      </w:r>
      <w:r>
        <w:rPr>
          <w:rFonts w:hint="eastAsia" w:ascii="仿宋_GB2312" w:hAnsi="仿宋_GB2312" w:eastAsia="仿宋_GB2312" w:cs="仿宋_GB2312"/>
          <w:b w:val="0"/>
          <w:bCs w:val="0"/>
          <w:color w:val="auto"/>
          <w:sz w:val="32"/>
          <w:szCs w:val="32"/>
        </w:rPr>
        <w:t>将收回相关资金，依法追究相应责任</w:t>
      </w:r>
      <w:r>
        <w:rPr>
          <w:rFonts w:hint="eastAsia" w:ascii="Nimbus Roman No9 L" w:hAnsi="Nimbus Roman No9 L" w:eastAsia="仿宋_GB2312" w:cs="Nimbus Roman No9 L"/>
          <w:b w:val="0"/>
          <w:bCs w:val="0"/>
          <w:color w:val="auto"/>
          <w:sz w:val="32"/>
          <w:szCs w:val="32"/>
        </w:rPr>
        <w:t>。</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rPr>
      </w:pP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第五章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附则</w:t>
      </w: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p>
    <w:p>
      <w:pPr>
        <w:pStyle w:val="14"/>
        <w:keepNext w:val="0"/>
        <w:keepLines w:val="0"/>
        <w:pageBreakBefore w:val="0"/>
        <w:widowControl w:val="0"/>
        <w:pBdr>
          <w:top w:val="single" w:color="FFFFFF" w:sz="8" w:space="0"/>
          <w:left w:val="single" w:color="FFFFFF" w:sz="8" w:space="4"/>
          <w:bottom w:val="single" w:color="FFFFFF" w:sz="8" w:space="30"/>
          <w:right w:val="single" w:color="FFFFFF" w:sz="8" w:space="9"/>
        </w:pBdr>
        <w:shd w:val="clear"/>
        <w:kinsoku/>
        <w:wordWrap/>
        <w:overflowPunct/>
        <w:topLinePunct w:val="0"/>
        <w:autoSpaceDE/>
        <w:autoSpaceDN/>
        <w:bidi w:val="0"/>
        <w:adjustRightInd w:val="0"/>
        <w:snapToGrid w:val="0"/>
        <w:spacing w:line="560" w:lineRule="exact"/>
        <w:ind w:firstLine="640" w:firstLineChars="200"/>
        <w:textAlignment w:val="auto"/>
        <w:rPr>
          <w:rFonts w:hint="eastAsia" w:ascii="Nimbus Roman No9 L" w:hAnsi="Nimbus Roman No9 L" w:eastAsia="仿宋_GB2312" w:cs="Nimbus Roman No9 L"/>
          <w:b w:val="0"/>
          <w:bCs w:val="0"/>
          <w:color w:val="auto"/>
          <w:sz w:val="32"/>
          <w:szCs w:val="32"/>
        </w:rPr>
      </w:pP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eastAsia="zh-CN"/>
        </w:rPr>
        <w:t>十五</w:t>
      </w:r>
      <w:r>
        <w:rPr>
          <w:rFonts w:hint="eastAsia" w:ascii="仿宋_GB2312" w:hAnsi="仿宋_GB2312" w:eastAsia="仿宋_GB2312" w:cs="仿宋_GB2312"/>
          <w:b w:val="0"/>
          <w:bCs w:val="0"/>
          <w:color w:val="auto"/>
          <w:sz w:val="32"/>
          <w:szCs w:val="32"/>
        </w:rPr>
        <w:t>条 本细则自发布之日起施行，由</w:t>
      </w:r>
      <w:r>
        <w:rPr>
          <w:rFonts w:hint="eastAsia" w:ascii="仿宋_GB2312" w:hAnsi="仿宋_GB2312" w:eastAsia="仿宋_GB2312" w:cs="仿宋_GB2312"/>
          <w:b w:val="0"/>
          <w:bCs w:val="0"/>
          <w:color w:val="auto"/>
          <w:sz w:val="32"/>
          <w:szCs w:val="32"/>
          <w:lang w:eastAsia="zh-CN"/>
        </w:rPr>
        <w:t>市</w:t>
      </w:r>
      <w:r>
        <w:rPr>
          <w:rFonts w:hint="eastAsia" w:ascii="仿宋_GB2312" w:hAnsi="仿宋_GB2312" w:eastAsia="仿宋_GB2312" w:cs="仿宋_GB2312"/>
          <w:b w:val="0"/>
          <w:bCs w:val="0"/>
          <w:color w:val="auto"/>
          <w:sz w:val="32"/>
          <w:szCs w:val="32"/>
        </w:rPr>
        <w:t>商务</w:t>
      </w:r>
      <w:r>
        <w:rPr>
          <w:rFonts w:hint="eastAsia" w:ascii="仿宋_GB2312" w:hAnsi="仿宋_GB2312" w:eastAsia="仿宋_GB2312" w:cs="仿宋_GB2312"/>
          <w:b w:val="0"/>
          <w:bCs w:val="0"/>
          <w:color w:val="auto"/>
          <w:sz w:val="32"/>
          <w:szCs w:val="32"/>
          <w:lang w:eastAsia="zh-CN"/>
        </w:rPr>
        <w:t>局</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市</w:t>
      </w:r>
      <w:r>
        <w:rPr>
          <w:rFonts w:hint="eastAsia" w:ascii="仿宋_GB2312" w:hAnsi="仿宋_GB2312" w:eastAsia="仿宋_GB2312" w:cs="仿宋_GB2312"/>
          <w:b w:val="0"/>
          <w:bCs w:val="0"/>
          <w:color w:val="auto"/>
          <w:sz w:val="32"/>
          <w:szCs w:val="32"/>
        </w:rPr>
        <w:t>财政</w:t>
      </w:r>
      <w:r>
        <w:rPr>
          <w:rFonts w:hint="eastAsia" w:ascii="仿宋_GB2312" w:hAnsi="仿宋_GB2312" w:eastAsia="仿宋_GB2312" w:cs="仿宋_GB2312"/>
          <w:b w:val="0"/>
          <w:bCs w:val="0"/>
          <w:color w:val="auto"/>
          <w:sz w:val="32"/>
          <w:szCs w:val="32"/>
          <w:lang w:eastAsia="zh-CN"/>
        </w:rPr>
        <w:t>局</w:t>
      </w:r>
      <w:r>
        <w:rPr>
          <w:rFonts w:hint="eastAsia" w:ascii="仿宋_GB2312" w:hAnsi="仿宋_GB2312" w:eastAsia="仿宋_GB2312" w:cs="仿宋_GB2312"/>
          <w:b w:val="0"/>
          <w:bCs w:val="0"/>
          <w:color w:val="auto"/>
          <w:sz w:val="32"/>
          <w:szCs w:val="32"/>
        </w:rPr>
        <w:t>负责解释，有效期截至国家政策结束为止。</w:t>
      </w:r>
    </w:p>
    <w:p>
      <w:pPr>
        <w:pStyle w:val="13"/>
        <w:spacing w:line="560" w:lineRule="exact"/>
        <w:rPr>
          <w:rFonts w:ascii="Nimbus Roman No9 L" w:hAnsi="Nimbus Roman No9 L" w:eastAsia="黑体" w:cs="Nimbus Roman No9 L"/>
          <w:b w:val="0"/>
          <w:bCs w:val="0"/>
          <w:color w:val="auto"/>
          <w:sz w:val="44"/>
          <w:szCs w:val="44"/>
        </w:rPr>
      </w:pPr>
      <w:r>
        <w:rPr>
          <w:rFonts w:hint="eastAsia" w:ascii="黑体" w:hAnsi="黑体" w:eastAsia="黑体" w:cs="黑体"/>
          <w:b w:val="0"/>
          <w:bCs w:val="0"/>
          <w:color w:val="auto"/>
        </w:rPr>
        <w:t>附件2</w:t>
      </w:r>
    </w:p>
    <w:p>
      <w:pPr>
        <w:jc w:val="center"/>
        <w:rPr>
          <w:rFonts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202</w:t>
      </w:r>
      <w:r>
        <w:rPr>
          <w:rFonts w:ascii="方正小标宋简体" w:hAnsi="方正小标宋简体" w:eastAsia="方正小标宋简体" w:cs="方正小标宋简体"/>
          <w:b w:val="0"/>
          <w:bCs w:val="0"/>
          <w:color w:val="auto"/>
          <w:sz w:val="44"/>
          <w:szCs w:val="44"/>
        </w:rPr>
        <w:t>3</w:t>
      </w:r>
      <w:r>
        <w:rPr>
          <w:rFonts w:hint="eastAsia" w:ascii="方正小标宋简体" w:hAnsi="方正小标宋简体" w:eastAsia="方正小标宋简体" w:cs="方正小标宋简体"/>
          <w:b w:val="0"/>
          <w:bCs w:val="0"/>
          <w:color w:val="auto"/>
          <w:sz w:val="44"/>
          <w:szCs w:val="44"/>
        </w:rPr>
        <w:t>年度总体目标</w:t>
      </w:r>
    </w:p>
    <w:tbl>
      <w:tblPr>
        <w:tblStyle w:val="9"/>
        <w:tblpPr w:leftFromText="180" w:rightFromText="180" w:vertAnchor="text" w:horzAnchor="page" w:tblpX="1525" w:tblpY="3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3588"/>
        <w:gridCol w:w="1533"/>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57" w:type="dxa"/>
            <w:vAlign w:val="center"/>
          </w:tcPr>
          <w:p>
            <w:pPr>
              <w:jc w:val="center"/>
              <w:rPr>
                <w:rFonts w:ascii="Nimbus Roman No9 L" w:hAnsi="Nimbus Roman No9 L" w:eastAsia="宋体" w:cs="Nimbus Roman No9 L"/>
                <w:b w:val="0"/>
                <w:bCs w:val="0"/>
                <w:color w:val="auto"/>
                <w:kern w:val="0"/>
                <w:sz w:val="22"/>
                <w:szCs w:val="22"/>
              </w:rPr>
            </w:pPr>
            <w:r>
              <w:rPr>
                <w:rFonts w:ascii="Nimbus Roman No9 L" w:hAnsi="Nimbus Roman No9 L" w:eastAsia="宋体" w:cs="Nimbus Roman No9 L"/>
                <w:b w:val="0"/>
                <w:bCs w:val="0"/>
                <w:color w:val="auto"/>
                <w:kern w:val="0"/>
                <w:sz w:val="22"/>
                <w:szCs w:val="22"/>
              </w:rPr>
              <w:t>方向</w:t>
            </w:r>
          </w:p>
        </w:tc>
        <w:tc>
          <w:tcPr>
            <w:tcW w:w="3588" w:type="dxa"/>
            <w:vAlign w:val="center"/>
          </w:tcPr>
          <w:p>
            <w:pPr>
              <w:jc w:val="center"/>
              <w:rPr>
                <w:rFonts w:ascii="Nimbus Roman No9 L" w:hAnsi="Nimbus Roman No9 L" w:eastAsia="宋体" w:cs="Nimbus Roman No9 L"/>
                <w:b w:val="0"/>
                <w:bCs w:val="0"/>
                <w:color w:val="auto"/>
                <w:kern w:val="0"/>
                <w:sz w:val="22"/>
                <w:szCs w:val="22"/>
              </w:rPr>
            </w:pPr>
            <w:r>
              <w:rPr>
                <w:rFonts w:ascii="Nimbus Roman No9 L" w:hAnsi="Nimbus Roman No9 L" w:eastAsia="宋体" w:cs="Nimbus Roman No9 L"/>
                <w:b w:val="0"/>
                <w:bCs w:val="0"/>
                <w:color w:val="auto"/>
                <w:kern w:val="0"/>
                <w:sz w:val="22"/>
                <w:szCs w:val="22"/>
              </w:rPr>
              <w:t>指标</w:t>
            </w:r>
          </w:p>
        </w:tc>
        <w:tc>
          <w:tcPr>
            <w:tcW w:w="1533" w:type="dxa"/>
            <w:vAlign w:val="center"/>
          </w:tcPr>
          <w:p>
            <w:pPr>
              <w:jc w:val="center"/>
              <w:rPr>
                <w:rFonts w:ascii="Nimbus Roman No9 L" w:hAnsi="Nimbus Roman No9 L" w:eastAsia="宋体" w:cs="Nimbus Roman No9 L"/>
                <w:b w:val="0"/>
                <w:bCs w:val="0"/>
                <w:color w:val="auto"/>
                <w:kern w:val="0"/>
                <w:sz w:val="22"/>
                <w:szCs w:val="22"/>
              </w:rPr>
            </w:pPr>
            <w:r>
              <w:rPr>
                <w:rFonts w:ascii="Nimbus Roman No9 L" w:hAnsi="Nimbus Roman No9 L" w:eastAsia="宋体" w:cs="Nimbus Roman No9 L"/>
                <w:b w:val="0"/>
                <w:bCs w:val="0"/>
                <w:color w:val="auto"/>
                <w:kern w:val="0"/>
                <w:sz w:val="22"/>
                <w:szCs w:val="22"/>
              </w:rPr>
              <w:t>2022年底数</w:t>
            </w:r>
          </w:p>
        </w:tc>
        <w:tc>
          <w:tcPr>
            <w:tcW w:w="2120" w:type="dxa"/>
            <w:vAlign w:val="center"/>
          </w:tcPr>
          <w:p>
            <w:pPr>
              <w:jc w:val="center"/>
              <w:rPr>
                <w:rFonts w:ascii="Nimbus Roman No9 L" w:hAnsi="Nimbus Roman No9 L" w:eastAsia="宋体" w:cs="Nimbus Roman No9 L"/>
                <w:b w:val="0"/>
                <w:bCs w:val="0"/>
                <w:color w:val="auto"/>
                <w:kern w:val="0"/>
                <w:sz w:val="22"/>
                <w:szCs w:val="22"/>
              </w:rPr>
            </w:pPr>
            <w:r>
              <w:rPr>
                <w:rFonts w:ascii="Nimbus Roman No9 L" w:hAnsi="Nimbus Roman No9 L" w:eastAsia="宋体" w:cs="Nimbus Roman No9 L"/>
                <w:b w:val="0"/>
                <w:bCs w:val="0"/>
                <w:color w:val="auto"/>
                <w:kern w:val="0"/>
                <w:sz w:val="22"/>
                <w:szCs w:val="22"/>
              </w:rPr>
              <w:t>2023年目标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657" w:type="dxa"/>
            <w:vMerge w:val="restart"/>
            <w:vAlign w:val="center"/>
          </w:tcPr>
          <w:p>
            <w:pPr>
              <w:jc w:val="center"/>
              <w:rPr>
                <w:rFonts w:ascii="Nimbus Roman No9 L" w:hAnsi="Nimbus Roman No9 L" w:eastAsia="宋体" w:cs="Nimbus Roman No9 L"/>
                <w:b w:val="0"/>
                <w:bCs w:val="0"/>
                <w:color w:val="auto"/>
                <w:kern w:val="0"/>
                <w:sz w:val="18"/>
                <w:szCs w:val="18"/>
              </w:rPr>
            </w:pPr>
          </w:p>
          <w:p>
            <w:pPr>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增强农产品批发市场冷链流通能力</w:t>
            </w:r>
          </w:p>
          <w:p>
            <w:pPr>
              <w:ind w:firstLine="630" w:firstLineChars="350"/>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农产品批发市场冷库库容</w:t>
            </w:r>
          </w:p>
        </w:tc>
        <w:tc>
          <w:tcPr>
            <w:tcW w:w="1533" w:type="dxa"/>
            <w:vAlign w:val="center"/>
          </w:tcPr>
          <w:p>
            <w:pPr>
              <w:jc w:val="center"/>
              <w:textAlignment w:val="center"/>
              <w:rPr>
                <w:rFonts w:ascii="Nimbus Roman No9 L" w:hAnsi="Nimbus Roman No9 L" w:eastAsia="仿宋_GB2312" w:cs="Nimbus Roman No9 L"/>
                <w:b w:val="0"/>
                <w:bCs w:val="0"/>
                <w:color w:val="auto"/>
                <w:kern w:val="0"/>
                <w:sz w:val="18"/>
                <w:szCs w:val="18"/>
              </w:rPr>
            </w:pPr>
          </w:p>
        </w:tc>
        <w:tc>
          <w:tcPr>
            <w:tcW w:w="2120" w:type="dxa"/>
            <w:vAlign w:val="center"/>
          </w:tcPr>
          <w:p>
            <w:pPr>
              <w:jc w:val="center"/>
              <w:textAlignment w:val="center"/>
              <w:rPr>
                <w:rFonts w:ascii="Nimbus Roman No9 L" w:hAnsi="Nimbus Roman No9 L" w:eastAsia="仿宋_GB2312" w:cs="Nimbus Roman No9 L"/>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其中：公共冷库库容</w:t>
            </w:r>
          </w:p>
        </w:tc>
        <w:tc>
          <w:tcPr>
            <w:tcW w:w="1533" w:type="dxa"/>
            <w:vAlign w:val="center"/>
          </w:tcPr>
          <w:p>
            <w:pPr>
              <w:jc w:val="center"/>
              <w:textAlignment w:val="center"/>
              <w:rPr>
                <w:rFonts w:ascii="Nimbus Roman No9 L" w:hAnsi="Nimbus Roman No9 L" w:eastAsia="仿宋_GB2312" w:cs="Nimbus Roman No9 L"/>
                <w:b w:val="0"/>
                <w:bCs w:val="0"/>
                <w:color w:val="auto"/>
                <w:kern w:val="0"/>
                <w:sz w:val="18"/>
                <w:szCs w:val="18"/>
              </w:rPr>
            </w:pPr>
          </w:p>
        </w:tc>
        <w:tc>
          <w:tcPr>
            <w:tcW w:w="2120" w:type="dxa"/>
            <w:vAlign w:val="center"/>
          </w:tcPr>
          <w:p>
            <w:pPr>
              <w:jc w:val="center"/>
              <w:textAlignment w:val="center"/>
              <w:rPr>
                <w:rFonts w:ascii="Nimbus Roman No9 L" w:hAnsi="Nimbus Roman No9 L" w:eastAsia="仿宋_GB2312" w:cs="Nimbus Roman No9 L"/>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加工配送中心库容</w:t>
            </w:r>
          </w:p>
        </w:tc>
        <w:tc>
          <w:tcPr>
            <w:tcW w:w="1533" w:type="dxa"/>
            <w:vAlign w:val="center"/>
          </w:tcPr>
          <w:p>
            <w:pPr>
              <w:jc w:val="center"/>
              <w:textAlignment w:val="center"/>
              <w:rPr>
                <w:rFonts w:ascii="Nimbus Roman No9 L" w:hAnsi="Nimbus Roman No9 L" w:eastAsia="仿宋_GB2312" w:cs="Nimbus Roman No9 L"/>
                <w:b w:val="0"/>
                <w:bCs w:val="0"/>
                <w:color w:val="auto"/>
                <w:kern w:val="0"/>
                <w:sz w:val="18"/>
                <w:szCs w:val="18"/>
              </w:rPr>
            </w:pPr>
          </w:p>
        </w:tc>
        <w:tc>
          <w:tcPr>
            <w:tcW w:w="2120" w:type="dxa"/>
            <w:vAlign w:val="center"/>
          </w:tcPr>
          <w:p>
            <w:pPr>
              <w:jc w:val="center"/>
              <w:textAlignment w:val="center"/>
              <w:rPr>
                <w:rFonts w:ascii="Nimbus Roman No9 L" w:hAnsi="Nimbus Roman No9 L" w:eastAsia="仿宋_GB2312" w:cs="Nimbus Roman No9 L"/>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中央厨房冷藏能力</w:t>
            </w:r>
          </w:p>
        </w:tc>
        <w:tc>
          <w:tcPr>
            <w:tcW w:w="1533" w:type="dxa"/>
            <w:vAlign w:val="center"/>
          </w:tcPr>
          <w:p>
            <w:pPr>
              <w:jc w:val="center"/>
              <w:textAlignment w:val="center"/>
              <w:rPr>
                <w:rFonts w:ascii="Nimbus Roman No9 L" w:hAnsi="Nimbus Roman No9 L" w:eastAsia="仿宋_GB2312" w:cs="Nimbus Roman No9 L"/>
                <w:b w:val="0"/>
                <w:bCs w:val="0"/>
                <w:color w:val="auto"/>
                <w:kern w:val="0"/>
                <w:sz w:val="18"/>
                <w:szCs w:val="18"/>
              </w:rPr>
            </w:pPr>
          </w:p>
        </w:tc>
        <w:tc>
          <w:tcPr>
            <w:tcW w:w="2120" w:type="dxa"/>
            <w:vAlign w:val="center"/>
          </w:tcPr>
          <w:p>
            <w:pPr>
              <w:jc w:val="center"/>
              <w:textAlignment w:val="center"/>
              <w:rPr>
                <w:rFonts w:ascii="Nimbus Roman No9 L" w:hAnsi="Nimbus Roman No9 L" w:eastAsia="仿宋_GB2312" w:cs="Nimbus Roman No9 L"/>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其他冷链设施</w:t>
            </w:r>
          </w:p>
        </w:tc>
        <w:tc>
          <w:tcPr>
            <w:tcW w:w="1533" w:type="dxa"/>
            <w:vAlign w:val="center"/>
          </w:tcPr>
          <w:p>
            <w:pPr>
              <w:jc w:val="center"/>
              <w:textAlignment w:val="center"/>
              <w:rPr>
                <w:rFonts w:ascii="Nimbus Roman No9 L" w:hAnsi="Nimbus Roman No9 L" w:eastAsia="仿宋_GB2312" w:cs="Nimbus Roman No9 L"/>
                <w:b w:val="0"/>
                <w:bCs w:val="0"/>
                <w:color w:val="auto"/>
                <w:kern w:val="0"/>
                <w:sz w:val="18"/>
                <w:szCs w:val="18"/>
              </w:rPr>
            </w:pPr>
          </w:p>
        </w:tc>
        <w:tc>
          <w:tcPr>
            <w:tcW w:w="2120" w:type="dxa"/>
            <w:vAlign w:val="center"/>
          </w:tcPr>
          <w:p>
            <w:pPr>
              <w:jc w:val="center"/>
              <w:textAlignment w:val="center"/>
              <w:rPr>
                <w:rFonts w:ascii="Nimbus Roman No9 L" w:hAnsi="Nimbus Roman No9 L" w:eastAsia="仿宋_GB2312" w:cs="Nimbus Roman No9 L"/>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w:t>
            </w:r>
          </w:p>
        </w:tc>
        <w:tc>
          <w:tcPr>
            <w:tcW w:w="1533" w:type="dxa"/>
            <w:vAlign w:val="center"/>
          </w:tcPr>
          <w:p>
            <w:pPr>
              <w:jc w:val="center"/>
              <w:textAlignment w:val="center"/>
              <w:rPr>
                <w:rFonts w:ascii="Nimbus Roman No9 L" w:hAnsi="Nimbus Roman No9 L" w:eastAsia="仿宋_GB2312" w:cs="Nimbus Roman No9 L"/>
                <w:b w:val="0"/>
                <w:bCs w:val="0"/>
                <w:color w:val="auto"/>
                <w:kern w:val="0"/>
                <w:sz w:val="18"/>
                <w:szCs w:val="18"/>
              </w:rPr>
            </w:pPr>
          </w:p>
        </w:tc>
        <w:tc>
          <w:tcPr>
            <w:tcW w:w="2120" w:type="dxa"/>
            <w:vAlign w:val="center"/>
          </w:tcPr>
          <w:p>
            <w:pPr>
              <w:jc w:val="center"/>
              <w:textAlignment w:val="center"/>
              <w:rPr>
                <w:rFonts w:ascii="Nimbus Roman No9 L" w:hAnsi="Nimbus Roman No9 L" w:eastAsia="仿宋_GB2312" w:cs="Nimbus Roman No9 L"/>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657" w:type="dxa"/>
            <w:vMerge w:val="restart"/>
            <w:vAlign w:val="center"/>
          </w:tcPr>
          <w:p>
            <w:pPr>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提高流通企业冷链物流配送效率</w:t>
            </w:r>
          </w:p>
          <w:p>
            <w:pPr>
              <w:ind w:firstLine="630" w:firstLineChars="350"/>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销地冷链集配中心（多温区）</w:t>
            </w:r>
          </w:p>
        </w:tc>
        <w:tc>
          <w:tcPr>
            <w:tcW w:w="1533" w:type="dxa"/>
            <w:vAlign w:val="center"/>
          </w:tcPr>
          <w:p>
            <w:pPr>
              <w:jc w:val="center"/>
              <w:textAlignment w:val="center"/>
              <w:rPr>
                <w:rFonts w:ascii="Nimbus Roman No9 L" w:hAnsi="Nimbus Roman No9 L" w:eastAsia="仿宋_GB2312" w:cs="Nimbus Roman No9 L"/>
                <w:b w:val="0"/>
                <w:bCs w:val="0"/>
                <w:color w:val="auto"/>
                <w:kern w:val="0"/>
                <w:sz w:val="18"/>
                <w:szCs w:val="18"/>
              </w:rPr>
            </w:pPr>
          </w:p>
        </w:tc>
        <w:tc>
          <w:tcPr>
            <w:tcW w:w="2120" w:type="dxa"/>
            <w:vAlign w:val="center"/>
          </w:tcPr>
          <w:p>
            <w:pPr>
              <w:jc w:val="center"/>
              <w:textAlignment w:val="center"/>
              <w:rPr>
                <w:rFonts w:ascii="Nimbus Roman No9 L" w:hAnsi="Nimbus Roman No9 L" w:eastAsia="仿宋_GB2312" w:cs="Nimbus Roman No9 L"/>
                <w:b w:val="0"/>
                <w:bCs w:val="0"/>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数量</w:t>
            </w:r>
          </w:p>
        </w:tc>
        <w:tc>
          <w:tcPr>
            <w:tcW w:w="1533" w:type="dxa"/>
            <w:vAlign w:val="center"/>
          </w:tcPr>
          <w:p>
            <w:pPr>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lang w:val="en-US" w:eastAsia="zh-CN"/>
              </w:rPr>
              <w:t>2</w:t>
            </w:r>
            <w:r>
              <w:rPr>
                <w:rFonts w:hint="eastAsia" w:ascii="宋体" w:hAnsi="宋体" w:eastAsia="宋体" w:cs="宋体"/>
                <w:b w:val="0"/>
                <w:bCs w:val="0"/>
                <w:color w:val="auto"/>
                <w:sz w:val="18"/>
                <w:szCs w:val="18"/>
              </w:rPr>
              <w:t>个</w:t>
            </w:r>
          </w:p>
        </w:tc>
        <w:tc>
          <w:tcPr>
            <w:tcW w:w="2120" w:type="dxa"/>
            <w:vAlign w:val="center"/>
          </w:tcPr>
          <w:p>
            <w:pPr>
              <w:jc w:val="center"/>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2</w:t>
            </w:r>
            <w:r>
              <w:rPr>
                <w:rFonts w:hint="eastAsia" w:ascii="宋体" w:hAnsi="宋体" w:eastAsia="宋体" w:cs="宋体"/>
                <w:b w:val="0"/>
                <w:bCs w:val="0"/>
                <w:color w:val="auto"/>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库容</w:t>
            </w:r>
          </w:p>
        </w:tc>
        <w:tc>
          <w:tcPr>
            <w:tcW w:w="1533" w:type="dxa"/>
            <w:vAlign w:val="center"/>
          </w:tcPr>
          <w:p>
            <w:pPr>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lang w:val="en-US" w:eastAsia="zh-CN"/>
              </w:rPr>
              <w:t>23150</w:t>
            </w:r>
            <w:r>
              <w:rPr>
                <w:rFonts w:hint="eastAsia" w:ascii="宋体" w:hAnsi="宋体" w:eastAsia="宋体" w:cs="宋体"/>
                <w:b w:val="0"/>
                <w:bCs w:val="0"/>
                <w:color w:val="auto"/>
                <w:sz w:val="18"/>
                <w:szCs w:val="18"/>
              </w:rPr>
              <w:t>(㎥)</w:t>
            </w:r>
          </w:p>
        </w:tc>
        <w:tc>
          <w:tcPr>
            <w:tcW w:w="2120" w:type="dxa"/>
            <w:vAlign w:val="center"/>
          </w:tcPr>
          <w:p>
            <w:pPr>
              <w:jc w:val="center"/>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23150</w:t>
            </w:r>
            <w:r>
              <w:rPr>
                <w:rFonts w:hint="eastAsia" w:ascii="宋体" w:hAnsi="宋体" w:eastAsia="宋体" w:cs="宋体"/>
                <w:b w:val="0"/>
                <w:bCs w:val="0"/>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冷藏车辆</w:t>
            </w:r>
          </w:p>
        </w:tc>
        <w:tc>
          <w:tcPr>
            <w:tcW w:w="1533" w:type="dxa"/>
            <w:vAlign w:val="center"/>
          </w:tcPr>
          <w:p>
            <w:pPr>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lang w:val="en-US" w:eastAsia="zh-CN"/>
              </w:rPr>
              <w:t>1</w:t>
            </w:r>
            <w:r>
              <w:rPr>
                <w:rFonts w:hint="eastAsia" w:ascii="宋体" w:hAnsi="宋体" w:eastAsia="宋体" w:cs="宋体"/>
                <w:b w:val="0"/>
                <w:bCs w:val="0"/>
                <w:color w:val="auto"/>
                <w:sz w:val="18"/>
                <w:szCs w:val="18"/>
              </w:rPr>
              <w:t>(辆）</w:t>
            </w:r>
          </w:p>
        </w:tc>
        <w:tc>
          <w:tcPr>
            <w:tcW w:w="2120" w:type="dxa"/>
            <w:vAlign w:val="center"/>
          </w:tcPr>
          <w:p>
            <w:pPr>
              <w:jc w:val="center"/>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1</w:t>
            </w:r>
            <w:r>
              <w:rPr>
                <w:rFonts w:hint="eastAsia" w:ascii="宋体" w:hAnsi="宋体" w:eastAsia="宋体" w:cs="宋体"/>
                <w:b w:val="0"/>
                <w:bCs w:val="0"/>
                <w:color w:val="auto"/>
                <w:sz w:val="18"/>
                <w:szCs w:val="18"/>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低温配送中心</w:t>
            </w:r>
          </w:p>
        </w:tc>
        <w:tc>
          <w:tcPr>
            <w:tcW w:w="1533" w:type="dxa"/>
            <w:vAlign w:val="center"/>
          </w:tcPr>
          <w:p>
            <w:pPr>
              <w:jc w:val="center"/>
              <w:textAlignment w:val="center"/>
              <w:rPr>
                <w:rFonts w:hint="eastAsia" w:ascii="宋体" w:hAnsi="宋体" w:eastAsia="宋体" w:cs="宋体"/>
                <w:b w:val="0"/>
                <w:bCs w:val="0"/>
                <w:color w:val="auto"/>
                <w:kern w:val="0"/>
                <w:sz w:val="18"/>
                <w:szCs w:val="18"/>
              </w:rPr>
            </w:pPr>
          </w:p>
        </w:tc>
        <w:tc>
          <w:tcPr>
            <w:tcW w:w="2120" w:type="dxa"/>
            <w:vAlign w:val="center"/>
          </w:tcPr>
          <w:p>
            <w:pPr>
              <w:jc w:val="center"/>
              <w:textAlignment w:val="center"/>
              <w:rPr>
                <w:rFonts w:hint="eastAsia" w:ascii="宋体" w:hAnsi="宋体" w:eastAsia="宋体" w:cs="宋体"/>
                <w:b w:val="0"/>
                <w:bCs w:val="0"/>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数量</w:t>
            </w:r>
          </w:p>
        </w:tc>
        <w:tc>
          <w:tcPr>
            <w:tcW w:w="1533" w:type="dxa"/>
            <w:vAlign w:val="center"/>
          </w:tcPr>
          <w:p>
            <w:pPr>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lang w:val="en-US" w:eastAsia="zh-CN"/>
              </w:rPr>
              <w:t>1</w:t>
            </w:r>
            <w:r>
              <w:rPr>
                <w:rFonts w:hint="eastAsia" w:ascii="宋体" w:hAnsi="宋体" w:eastAsia="宋体" w:cs="宋体"/>
                <w:b w:val="0"/>
                <w:bCs w:val="0"/>
                <w:color w:val="auto"/>
                <w:sz w:val="18"/>
                <w:szCs w:val="18"/>
              </w:rPr>
              <w:t>个</w:t>
            </w:r>
          </w:p>
        </w:tc>
        <w:tc>
          <w:tcPr>
            <w:tcW w:w="2120" w:type="dxa"/>
            <w:vAlign w:val="center"/>
          </w:tcPr>
          <w:p>
            <w:pPr>
              <w:jc w:val="center"/>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1</w:t>
            </w:r>
            <w:r>
              <w:rPr>
                <w:rFonts w:hint="eastAsia" w:ascii="宋体" w:hAnsi="宋体" w:eastAsia="宋体" w:cs="宋体"/>
                <w:b w:val="0"/>
                <w:bCs w:val="0"/>
                <w:color w:val="auto"/>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库容</w:t>
            </w:r>
          </w:p>
        </w:tc>
        <w:tc>
          <w:tcPr>
            <w:tcW w:w="1533" w:type="dxa"/>
            <w:vAlign w:val="center"/>
          </w:tcPr>
          <w:p>
            <w:pPr>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lang w:val="en-US" w:eastAsia="zh-CN"/>
              </w:rPr>
              <w:t>3656</w:t>
            </w:r>
            <w:r>
              <w:rPr>
                <w:rFonts w:hint="eastAsia" w:ascii="宋体" w:hAnsi="宋体" w:eastAsia="宋体" w:cs="宋体"/>
                <w:b w:val="0"/>
                <w:bCs w:val="0"/>
                <w:color w:val="auto"/>
                <w:sz w:val="18"/>
                <w:szCs w:val="18"/>
              </w:rPr>
              <w:t>(㎥)</w:t>
            </w:r>
          </w:p>
        </w:tc>
        <w:tc>
          <w:tcPr>
            <w:tcW w:w="2120" w:type="dxa"/>
            <w:vAlign w:val="center"/>
          </w:tcPr>
          <w:p>
            <w:pPr>
              <w:jc w:val="center"/>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3656</w:t>
            </w:r>
            <w:r>
              <w:rPr>
                <w:rFonts w:hint="eastAsia" w:ascii="宋体" w:hAnsi="宋体" w:eastAsia="宋体" w:cs="宋体"/>
                <w:b w:val="0"/>
                <w:bCs w:val="0"/>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冷藏车辆</w:t>
            </w:r>
          </w:p>
        </w:tc>
        <w:tc>
          <w:tcPr>
            <w:tcW w:w="1533" w:type="dxa"/>
            <w:vAlign w:val="center"/>
          </w:tcPr>
          <w:p>
            <w:pPr>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lang w:val="en-US" w:eastAsia="zh-CN"/>
              </w:rPr>
              <w:t>1</w:t>
            </w:r>
            <w:r>
              <w:rPr>
                <w:rFonts w:hint="eastAsia" w:ascii="宋体" w:hAnsi="宋体" w:eastAsia="宋体" w:cs="宋体"/>
                <w:b w:val="0"/>
                <w:bCs w:val="0"/>
                <w:color w:val="auto"/>
                <w:sz w:val="18"/>
                <w:szCs w:val="18"/>
              </w:rPr>
              <w:t>(辆）</w:t>
            </w:r>
          </w:p>
        </w:tc>
        <w:tc>
          <w:tcPr>
            <w:tcW w:w="2120" w:type="dxa"/>
            <w:vAlign w:val="center"/>
          </w:tcPr>
          <w:p>
            <w:pPr>
              <w:jc w:val="center"/>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1</w:t>
            </w:r>
            <w:r>
              <w:rPr>
                <w:rFonts w:hint="eastAsia" w:ascii="宋体" w:hAnsi="宋体" w:eastAsia="宋体" w:cs="宋体"/>
                <w:b w:val="0"/>
                <w:bCs w:val="0"/>
                <w:color w:val="auto"/>
                <w:sz w:val="18"/>
                <w:szCs w:val="18"/>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农产品冷链物流园区</w:t>
            </w:r>
          </w:p>
        </w:tc>
        <w:tc>
          <w:tcPr>
            <w:tcW w:w="1533" w:type="dxa"/>
            <w:vAlign w:val="center"/>
          </w:tcPr>
          <w:p>
            <w:pPr>
              <w:jc w:val="center"/>
              <w:textAlignment w:val="center"/>
              <w:rPr>
                <w:rFonts w:hint="eastAsia" w:ascii="宋体" w:hAnsi="宋体" w:eastAsia="宋体" w:cs="宋体"/>
                <w:b w:val="0"/>
                <w:bCs w:val="0"/>
                <w:color w:val="auto"/>
                <w:kern w:val="0"/>
                <w:sz w:val="18"/>
                <w:szCs w:val="18"/>
              </w:rPr>
            </w:pPr>
          </w:p>
        </w:tc>
        <w:tc>
          <w:tcPr>
            <w:tcW w:w="2120" w:type="dxa"/>
            <w:vAlign w:val="center"/>
          </w:tcPr>
          <w:p>
            <w:pPr>
              <w:jc w:val="center"/>
              <w:textAlignment w:val="center"/>
              <w:rPr>
                <w:rFonts w:hint="eastAsia" w:ascii="宋体" w:hAnsi="宋体" w:eastAsia="宋体" w:cs="宋体"/>
                <w:b w:val="0"/>
                <w:bCs w:val="0"/>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数量</w:t>
            </w:r>
          </w:p>
        </w:tc>
        <w:tc>
          <w:tcPr>
            <w:tcW w:w="1533" w:type="dxa"/>
            <w:vAlign w:val="center"/>
          </w:tcPr>
          <w:p>
            <w:pPr>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lang w:val="en-US" w:eastAsia="zh-CN"/>
              </w:rPr>
              <w:t>2</w:t>
            </w:r>
            <w:r>
              <w:rPr>
                <w:rFonts w:hint="eastAsia" w:ascii="宋体" w:hAnsi="宋体" w:eastAsia="宋体" w:cs="宋体"/>
                <w:b w:val="0"/>
                <w:bCs w:val="0"/>
                <w:color w:val="auto"/>
                <w:sz w:val="18"/>
                <w:szCs w:val="18"/>
              </w:rPr>
              <w:t>个</w:t>
            </w:r>
          </w:p>
        </w:tc>
        <w:tc>
          <w:tcPr>
            <w:tcW w:w="2120" w:type="dxa"/>
            <w:vAlign w:val="center"/>
          </w:tcPr>
          <w:p>
            <w:pPr>
              <w:jc w:val="center"/>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库容</w:t>
            </w:r>
          </w:p>
        </w:tc>
        <w:tc>
          <w:tcPr>
            <w:tcW w:w="1533" w:type="dxa"/>
            <w:vAlign w:val="center"/>
          </w:tcPr>
          <w:p>
            <w:pPr>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lang w:val="en-US" w:eastAsia="zh-CN"/>
              </w:rPr>
              <w:t>17902</w:t>
            </w:r>
            <w:r>
              <w:rPr>
                <w:rFonts w:hint="eastAsia" w:ascii="宋体" w:hAnsi="宋体" w:eastAsia="宋体" w:cs="宋体"/>
                <w:b w:val="0"/>
                <w:bCs w:val="0"/>
                <w:color w:val="auto"/>
                <w:sz w:val="18"/>
                <w:szCs w:val="18"/>
              </w:rPr>
              <w:t>(㎥)</w:t>
            </w:r>
          </w:p>
        </w:tc>
        <w:tc>
          <w:tcPr>
            <w:tcW w:w="2120" w:type="dxa"/>
            <w:vAlign w:val="center"/>
          </w:tcPr>
          <w:p>
            <w:pPr>
              <w:jc w:val="center"/>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89952.4</w:t>
            </w:r>
            <w:r>
              <w:rPr>
                <w:rFonts w:hint="eastAsia" w:ascii="宋体" w:hAnsi="宋体" w:eastAsia="宋体" w:cs="宋体"/>
                <w:b w:val="0"/>
                <w:bCs w:val="0"/>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冷藏车辆</w:t>
            </w:r>
          </w:p>
        </w:tc>
        <w:tc>
          <w:tcPr>
            <w:tcW w:w="1533" w:type="dxa"/>
            <w:vAlign w:val="center"/>
          </w:tcPr>
          <w:p>
            <w:pPr>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lang w:val="en-US" w:eastAsia="zh-CN"/>
              </w:rPr>
              <w:t>6</w:t>
            </w:r>
            <w:r>
              <w:rPr>
                <w:rFonts w:hint="eastAsia" w:ascii="宋体" w:hAnsi="宋体" w:eastAsia="宋体" w:cs="宋体"/>
                <w:b w:val="0"/>
                <w:bCs w:val="0"/>
                <w:color w:val="auto"/>
                <w:sz w:val="18"/>
                <w:szCs w:val="18"/>
              </w:rPr>
              <w:t>(辆）</w:t>
            </w:r>
          </w:p>
        </w:tc>
        <w:tc>
          <w:tcPr>
            <w:tcW w:w="2120" w:type="dxa"/>
            <w:vAlign w:val="center"/>
          </w:tcPr>
          <w:p>
            <w:pPr>
              <w:jc w:val="center"/>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9</w:t>
            </w:r>
            <w:r>
              <w:rPr>
                <w:rFonts w:hint="eastAsia" w:ascii="宋体" w:hAnsi="宋体" w:eastAsia="宋体" w:cs="宋体"/>
                <w:b w:val="0"/>
                <w:bCs w:val="0"/>
                <w:color w:val="auto"/>
                <w:sz w:val="18"/>
                <w:szCs w:val="18"/>
                <w:highlight w:val="none"/>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其他类型农产品冷链设施库容</w:t>
            </w:r>
          </w:p>
        </w:tc>
        <w:tc>
          <w:tcPr>
            <w:tcW w:w="1533" w:type="dxa"/>
            <w:vAlign w:val="center"/>
          </w:tcPr>
          <w:p>
            <w:pPr>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lang w:val="en-US" w:eastAsia="zh-CN"/>
              </w:rPr>
              <w:t>1706</w:t>
            </w:r>
            <w:r>
              <w:rPr>
                <w:rFonts w:hint="eastAsia" w:ascii="宋体" w:hAnsi="宋体" w:eastAsia="宋体" w:cs="宋体"/>
                <w:b w:val="0"/>
                <w:bCs w:val="0"/>
                <w:color w:val="auto"/>
                <w:sz w:val="18"/>
                <w:szCs w:val="18"/>
              </w:rPr>
              <w:t>(㎥)</w:t>
            </w:r>
          </w:p>
        </w:tc>
        <w:tc>
          <w:tcPr>
            <w:tcW w:w="2120" w:type="dxa"/>
            <w:vAlign w:val="center"/>
          </w:tcPr>
          <w:p>
            <w:pPr>
              <w:jc w:val="center"/>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1706</w:t>
            </w:r>
            <w:r>
              <w:rPr>
                <w:rFonts w:hint="eastAsia" w:ascii="宋体" w:hAnsi="宋体" w:eastAsia="宋体" w:cs="宋体"/>
                <w:b w:val="0"/>
                <w:bCs w:val="0"/>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库容</w:t>
            </w:r>
          </w:p>
        </w:tc>
        <w:tc>
          <w:tcPr>
            <w:tcW w:w="1533" w:type="dxa"/>
            <w:vAlign w:val="center"/>
          </w:tcPr>
          <w:p>
            <w:pPr>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lang w:val="en-US" w:eastAsia="zh-CN"/>
              </w:rPr>
              <w:t>1706</w:t>
            </w:r>
            <w:r>
              <w:rPr>
                <w:rFonts w:hint="eastAsia" w:ascii="宋体" w:hAnsi="宋体" w:eastAsia="宋体" w:cs="宋体"/>
                <w:b w:val="0"/>
                <w:bCs w:val="0"/>
                <w:color w:val="auto"/>
                <w:sz w:val="18"/>
                <w:szCs w:val="18"/>
              </w:rPr>
              <w:t>(㎥)</w:t>
            </w:r>
          </w:p>
        </w:tc>
        <w:tc>
          <w:tcPr>
            <w:tcW w:w="2120" w:type="dxa"/>
            <w:vAlign w:val="center"/>
          </w:tcPr>
          <w:p>
            <w:pPr>
              <w:jc w:val="center"/>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1706</w:t>
            </w:r>
            <w:r>
              <w:rPr>
                <w:rFonts w:hint="eastAsia" w:ascii="宋体" w:hAnsi="宋体" w:eastAsia="宋体" w:cs="宋体"/>
                <w:b w:val="0"/>
                <w:bCs w:val="0"/>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冷藏车辆</w:t>
            </w:r>
          </w:p>
        </w:tc>
        <w:tc>
          <w:tcPr>
            <w:tcW w:w="1533" w:type="dxa"/>
            <w:vAlign w:val="center"/>
          </w:tcPr>
          <w:p>
            <w:pPr>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lang w:val="en-US" w:eastAsia="zh-CN"/>
              </w:rPr>
              <w:t>1</w:t>
            </w:r>
            <w:r>
              <w:rPr>
                <w:rFonts w:hint="eastAsia" w:ascii="宋体" w:hAnsi="宋体" w:eastAsia="宋体" w:cs="宋体"/>
                <w:b w:val="0"/>
                <w:bCs w:val="0"/>
                <w:color w:val="auto"/>
                <w:sz w:val="18"/>
                <w:szCs w:val="18"/>
              </w:rPr>
              <w:t>(辆）</w:t>
            </w:r>
          </w:p>
        </w:tc>
        <w:tc>
          <w:tcPr>
            <w:tcW w:w="2120" w:type="dxa"/>
            <w:vAlign w:val="center"/>
          </w:tcPr>
          <w:p>
            <w:pPr>
              <w:jc w:val="center"/>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1</w:t>
            </w:r>
            <w:r>
              <w:rPr>
                <w:rFonts w:hint="eastAsia" w:ascii="宋体" w:hAnsi="宋体" w:eastAsia="宋体" w:cs="宋体"/>
                <w:b w:val="0"/>
                <w:bCs w:val="0"/>
                <w:color w:val="auto"/>
                <w:sz w:val="18"/>
                <w:szCs w:val="18"/>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w:t>
            </w:r>
          </w:p>
        </w:tc>
        <w:tc>
          <w:tcPr>
            <w:tcW w:w="1533" w:type="dxa"/>
            <w:vAlign w:val="center"/>
          </w:tcPr>
          <w:p>
            <w:pPr>
              <w:jc w:val="center"/>
              <w:textAlignment w:val="center"/>
              <w:rPr>
                <w:rFonts w:hint="eastAsia" w:ascii="宋体" w:hAnsi="宋体" w:eastAsia="宋体" w:cs="宋体"/>
                <w:b w:val="0"/>
                <w:bCs w:val="0"/>
                <w:color w:val="auto"/>
                <w:kern w:val="0"/>
                <w:sz w:val="18"/>
                <w:szCs w:val="18"/>
              </w:rPr>
            </w:pPr>
          </w:p>
        </w:tc>
        <w:tc>
          <w:tcPr>
            <w:tcW w:w="2120" w:type="dxa"/>
            <w:vAlign w:val="center"/>
          </w:tcPr>
          <w:p>
            <w:pPr>
              <w:jc w:val="center"/>
              <w:textAlignment w:val="center"/>
              <w:rPr>
                <w:rFonts w:hint="eastAsia" w:ascii="宋体" w:hAnsi="宋体" w:eastAsia="宋体" w:cs="宋体"/>
                <w:b w:val="0"/>
                <w:bCs w:val="0"/>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657" w:type="dxa"/>
            <w:vMerge w:val="restart"/>
            <w:vAlign w:val="center"/>
          </w:tcPr>
          <w:p>
            <w:pPr>
              <w:jc w:val="center"/>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完善农产品零售终端冷链环境</w:t>
            </w: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连锁商超终端冷藏能力</w:t>
            </w:r>
          </w:p>
        </w:tc>
        <w:tc>
          <w:tcPr>
            <w:tcW w:w="1533" w:type="dxa"/>
            <w:vAlign w:val="center"/>
          </w:tcPr>
          <w:p>
            <w:pPr>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lang w:val="en-US" w:eastAsia="zh-CN"/>
              </w:rPr>
              <w:t>150</w:t>
            </w:r>
            <w:r>
              <w:rPr>
                <w:rFonts w:hint="eastAsia" w:ascii="宋体" w:hAnsi="宋体" w:eastAsia="宋体" w:cs="宋体"/>
                <w:b w:val="0"/>
                <w:bCs w:val="0"/>
                <w:color w:val="auto"/>
                <w:sz w:val="18"/>
                <w:szCs w:val="18"/>
              </w:rPr>
              <w:t>(㎥)</w:t>
            </w:r>
          </w:p>
        </w:tc>
        <w:tc>
          <w:tcPr>
            <w:tcW w:w="2120" w:type="dxa"/>
            <w:vAlign w:val="center"/>
          </w:tcPr>
          <w:p>
            <w:pPr>
              <w:jc w:val="center"/>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150</w:t>
            </w:r>
            <w:r>
              <w:rPr>
                <w:rFonts w:hint="eastAsia" w:ascii="宋体" w:hAnsi="宋体" w:eastAsia="宋体" w:cs="宋体"/>
                <w:b w:val="0"/>
                <w:bCs w:val="0"/>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农贸市场、菜市场冷藏能力</w:t>
            </w:r>
          </w:p>
        </w:tc>
        <w:tc>
          <w:tcPr>
            <w:tcW w:w="1533" w:type="dxa"/>
            <w:vAlign w:val="center"/>
          </w:tcPr>
          <w:p>
            <w:pPr>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lang w:val="en-US" w:eastAsia="zh-CN"/>
              </w:rPr>
              <w:t>300</w:t>
            </w:r>
            <w:r>
              <w:rPr>
                <w:rFonts w:hint="eastAsia" w:ascii="宋体" w:hAnsi="宋体" w:eastAsia="宋体" w:cs="宋体"/>
                <w:b w:val="0"/>
                <w:bCs w:val="0"/>
                <w:color w:val="auto"/>
                <w:sz w:val="18"/>
                <w:szCs w:val="18"/>
              </w:rPr>
              <w:t>(㎥)</w:t>
            </w:r>
          </w:p>
        </w:tc>
        <w:tc>
          <w:tcPr>
            <w:tcW w:w="2120" w:type="dxa"/>
            <w:vAlign w:val="center"/>
          </w:tcPr>
          <w:p>
            <w:pPr>
              <w:jc w:val="center"/>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300</w:t>
            </w:r>
            <w:r>
              <w:rPr>
                <w:rFonts w:hint="eastAsia" w:ascii="宋体" w:hAnsi="宋体" w:eastAsia="宋体" w:cs="宋体"/>
                <w:b w:val="0"/>
                <w:bCs w:val="0"/>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生鲜电商等社区前置仓数量</w:t>
            </w:r>
          </w:p>
        </w:tc>
        <w:tc>
          <w:tcPr>
            <w:tcW w:w="1533" w:type="dxa"/>
            <w:vAlign w:val="center"/>
          </w:tcPr>
          <w:p>
            <w:pPr>
              <w:jc w:val="center"/>
              <w:textAlignment w:val="center"/>
              <w:rPr>
                <w:rFonts w:hint="eastAsia" w:ascii="宋体" w:hAnsi="宋体" w:eastAsia="宋体" w:cs="宋体"/>
                <w:b w:val="0"/>
                <w:bCs w:val="0"/>
                <w:color w:val="auto"/>
                <w:kern w:val="0"/>
                <w:sz w:val="18"/>
                <w:szCs w:val="18"/>
              </w:rPr>
            </w:pPr>
          </w:p>
        </w:tc>
        <w:tc>
          <w:tcPr>
            <w:tcW w:w="2120" w:type="dxa"/>
            <w:vAlign w:val="center"/>
          </w:tcPr>
          <w:p>
            <w:pPr>
              <w:jc w:val="center"/>
              <w:textAlignment w:val="center"/>
              <w:rPr>
                <w:rFonts w:hint="eastAsia" w:ascii="宋体" w:hAnsi="宋体" w:eastAsia="宋体" w:cs="宋体"/>
                <w:b w:val="0"/>
                <w:bCs w:val="0"/>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社区前置仓冷库库容</w:t>
            </w:r>
          </w:p>
        </w:tc>
        <w:tc>
          <w:tcPr>
            <w:tcW w:w="1533" w:type="dxa"/>
            <w:vAlign w:val="center"/>
          </w:tcPr>
          <w:p>
            <w:pPr>
              <w:jc w:val="center"/>
              <w:textAlignment w:val="center"/>
              <w:rPr>
                <w:rFonts w:hint="eastAsia" w:ascii="宋体" w:hAnsi="宋体" w:eastAsia="宋体" w:cs="宋体"/>
                <w:b w:val="0"/>
                <w:bCs w:val="0"/>
                <w:color w:val="auto"/>
                <w:kern w:val="0"/>
                <w:sz w:val="18"/>
                <w:szCs w:val="18"/>
              </w:rPr>
            </w:pPr>
          </w:p>
        </w:tc>
        <w:tc>
          <w:tcPr>
            <w:tcW w:w="2120" w:type="dxa"/>
            <w:vAlign w:val="center"/>
          </w:tcPr>
          <w:p>
            <w:pPr>
              <w:jc w:val="center"/>
              <w:textAlignment w:val="center"/>
              <w:rPr>
                <w:rFonts w:hint="eastAsia" w:ascii="宋体" w:hAnsi="宋体" w:eastAsia="宋体" w:cs="宋体"/>
                <w:b w:val="0"/>
                <w:bCs w:val="0"/>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657" w:type="dxa"/>
            <w:vMerge w:val="continue"/>
          </w:tcPr>
          <w:p>
            <w:pPr>
              <w:jc w:val="left"/>
              <w:rPr>
                <w:rFonts w:ascii="Nimbus Roman No9 L" w:hAnsi="Nimbus Roman No9 L" w:eastAsia="宋体" w:cs="Nimbus Roman No9 L"/>
                <w:b w:val="0"/>
                <w:bCs w:val="0"/>
                <w:color w:val="auto"/>
                <w:kern w:val="0"/>
                <w:sz w:val="18"/>
                <w:szCs w:val="18"/>
              </w:rPr>
            </w:pPr>
          </w:p>
        </w:tc>
        <w:tc>
          <w:tcPr>
            <w:tcW w:w="3588"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w:t>
            </w:r>
          </w:p>
        </w:tc>
        <w:tc>
          <w:tcPr>
            <w:tcW w:w="1533" w:type="dxa"/>
            <w:vAlign w:val="center"/>
          </w:tcPr>
          <w:p>
            <w:pPr>
              <w:jc w:val="center"/>
              <w:textAlignment w:val="center"/>
              <w:rPr>
                <w:rFonts w:hint="eastAsia" w:ascii="宋体" w:hAnsi="宋体" w:eastAsia="宋体" w:cs="宋体"/>
                <w:b w:val="0"/>
                <w:bCs w:val="0"/>
                <w:color w:val="auto"/>
                <w:kern w:val="0"/>
                <w:sz w:val="18"/>
                <w:szCs w:val="18"/>
              </w:rPr>
            </w:pPr>
          </w:p>
        </w:tc>
        <w:tc>
          <w:tcPr>
            <w:tcW w:w="2120" w:type="dxa"/>
            <w:vAlign w:val="center"/>
          </w:tcPr>
          <w:p>
            <w:pPr>
              <w:jc w:val="center"/>
              <w:textAlignment w:val="center"/>
              <w:rPr>
                <w:rFonts w:hint="eastAsia" w:ascii="宋体" w:hAnsi="宋体" w:eastAsia="宋体" w:cs="宋体"/>
                <w:b w:val="0"/>
                <w:bCs w:val="0"/>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7" w:type="dxa"/>
          </w:tcPr>
          <w:p>
            <w:pPr>
              <w:jc w:val="left"/>
              <w:rPr>
                <w:rFonts w:ascii="Nimbus Roman No9 L" w:hAnsi="Nimbus Roman No9 L" w:eastAsia="宋体" w:cs="Nimbus Roman No9 L"/>
                <w:b w:val="0"/>
                <w:bCs w:val="0"/>
                <w:color w:val="auto"/>
                <w:kern w:val="0"/>
                <w:sz w:val="18"/>
                <w:szCs w:val="18"/>
              </w:rPr>
            </w:pPr>
            <w:r>
              <w:rPr>
                <w:rFonts w:ascii="Nimbus Roman No9 L" w:hAnsi="Nimbus Roman No9 L" w:eastAsia="宋体" w:cs="Nimbus Roman No9 L"/>
                <w:b w:val="0"/>
                <w:bCs w:val="0"/>
                <w:color w:val="auto"/>
                <w:kern w:val="0"/>
                <w:sz w:val="18"/>
                <w:szCs w:val="18"/>
              </w:rPr>
              <w:t>统筹农产品保供市场保供企业</w:t>
            </w:r>
          </w:p>
        </w:tc>
        <w:tc>
          <w:tcPr>
            <w:tcW w:w="3588" w:type="dxa"/>
          </w:tcPr>
          <w:p>
            <w:pPr>
              <w:jc w:val="left"/>
              <w:rPr>
                <w:rFonts w:ascii="Nimbus Roman No9 L" w:hAnsi="Nimbus Roman No9 L" w:eastAsia="宋体" w:cs="Nimbus Roman No9 L"/>
                <w:b w:val="0"/>
                <w:bCs w:val="0"/>
                <w:color w:val="auto"/>
                <w:kern w:val="0"/>
                <w:sz w:val="18"/>
                <w:szCs w:val="18"/>
              </w:rPr>
            </w:pPr>
            <w:r>
              <w:rPr>
                <w:rFonts w:hint="eastAsia" w:ascii="Nimbus Roman No9 L" w:hAnsi="Nimbus Roman No9 L" w:eastAsia="宋体" w:cs="Nimbus Roman No9 L"/>
                <w:b w:val="0"/>
                <w:bCs w:val="0"/>
                <w:color w:val="auto"/>
                <w:kern w:val="0"/>
                <w:sz w:val="18"/>
                <w:szCs w:val="18"/>
              </w:rPr>
              <w:t>农产品保供企业数量</w:t>
            </w:r>
          </w:p>
        </w:tc>
        <w:tc>
          <w:tcPr>
            <w:tcW w:w="1533" w:type="dxa"/>
            <w:vAlign w:val="center"/>
          </w:tcPr>
          <w:p>
            <w:pPr>
              <w:jc w:val="center"/>
              <w:textAlignment w:val="center"/>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sz w:val="18"/>
                <w:szCs w:val="18"/>
                <w:lang w:val="en-US" w:eastAsia="zh-CN"/>
              </w:rPr>
              <w:t>77</w:t>
            </w:r>
            <w:r>
              <w:rPr>
                <w:rFonts w:hint="eastAsia" w:ascii="宋体" w:hAnsi="宋体" w:eastAsia="宋体" w:cs="宋体"/>
                <w:b w:val="0"/>
                <w:bCs w:val="0"/>
                <w:color w:val="auto"/>
                <w:sz w:val="18"/>
                <w:szCs w:val="18"/>
              </w:rPr>
              <w:t>个</w:t>
            </w:r>
          </w:p>
        </w:tc>
        <w:tc>
          <w:tcPr>
            <w:tcW w:w="2120" w:type="dxa"/>
            <w:vAlign w:val="center"/>
          </w:tcPr>
          <w:p>
            <w:pPr>
              <w:jc w:val="center"/>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77</w:t>
            </w:r>
            <w:r>
              <w:rPr>
                <w:rFonts w:hint="eastAsia" w:ascii="宋体" w:hAnsi="宋体" w:eastAsia="宋体" w:cs="宋体"/>
                <w:b w:val="0"/>
                <w:bCs w:val="0"/>
                <w:color w:val="auto"/>
                <w:sz w:val="18"/>
                <w:szCs w:val="18"/>
              </w:rPr>
              <w:t>个</w:t>
            </w:r>
          </w:p>
        </w:tc>
      </w:tr>
    </w:tbl>
    <w:p>
      <w:pPr>
        <w:jc w:val="center"/>
        <w:rPr>
          <w:rFonts w:ascii="Nimbus Roman No9 L" w:hAnsi="Nimbus Roman No9 L" w:eastAsia="黑体" w:cs="Nimbus Roman No9 L"/>
          <w:b w:val="0"/>
          <w:bCs w:val="0"/>
          <w:color w:val="auto"/>
          <w:sz w:val="32"/>
          <w:szCs w:val="32"/>
        </w:rPr>
      </w:pPr>
    </w:p>
    <w:p>
      <w:pPr>
        <w:pStyle w:val="12"/>
        <w:widowControl/>
        <w:pBdr>
          <w:top w:val="single" w:color="FFFFFF" w:sz="8" w:space="0"/>
          <w:left w:val="single" w:color="FFFFFF" w:sz="8" w:space="4"/>
          <w:bottom w:val="single" w:color="FFFFFF" w:sz="8" w:space="30"/>
          <w:right w:val="single" w:color="FFFFFF" w:sz="8" w:space="9"/>
        </w:pBdr>
        <w:shd w:val="clear" w:color="auto" w:fill="FFFFFF"/>
        <w:snapToGrid w:val="0"/>
        <w:spacing w:line="560" w:lineRule="exact"/>
        <w:rPr>
          <w:rFonts w:ascii="Nimbus Roman No9 L" w:hAnsi="Nimbus Roman No9 L" w:cs="Nimbus Roman No9 L"/>
          <w:b w:val="0"/>
          <w:bCs w:val="0"/>
          <w:color w:val="auto"/>
        </w:rPr>
        <w:sectPr>
          <w:footerReference r:id="rId3" w:type="default"/>
          <w:pgSz w:w="11906" w:h="16838"/>
          <w:pgMar w:top="2098" w:right="1474" w:bottom="1157" w:left="1588" w:header="851" w:footer="1474"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12"/>
        <w:pBdr>
          <w:top w:val="single" w:color="FFFFFF" w:sz="8" w:space="0"/>
          <w:left w:val="single" w:color="FFFFFF" w:sz="8" w:space="4"/>
          <w:bottom w:val="single" w:color="FFFFFF" w:sz="8" w:space="30"/>
          <w:right w:val="single" w:color="FFFFFF" w:sz="8" w:space="9"/>
        </w:pBdr>
        <w:shd w:val="clear"/>
        <w:snapToGrid w:val="0"/>
        <w:spacing w:line="560" w:lineRule="exact"/>
        <w:jc w:val="left"/>
        <w:rPr>
          <w:rFonts w:ascii="黑体" w:hAnsi="黑体" w:eastAsia="黑体" w:cs="黑体"/>
          <w:b w:val="0"/>
          <w:bCs w:val="0"/>
          <w:color w:val="auto"/>
        </w:rPr>
      </w:pPr>
      <w:r>
        <w:rPr>
          <w:rFonts w:hint="eastAsia" w:ascii="黑体" w:hAnsi="黑体" w:eastAsia="黑体" w:cs="黑体"/>
          <w:b w:val="0"/>
          <w:bCs w:val="0"/>
          <w:color w:val="auto"/>
        </w:rPr>
        <w:t>附件3</w:t>
      </w:r>
    </w:p>
    <w:p>
      <w:pPr>
        <w:pStyle w:val="12"/>
        <w:pBdr>
          <w:top w:val="single" w:color="FFFFFF" w:sz="8" w:space="0"/>
          <w:left w:val="single" w:color="FFFFFF" w:sz="8" w:space="4"/>
          <w:bottom w:val="single" w:color="FFFFFF" w:sz="8" w:space="30"/>
          <w:right w:val="single" w:color="FFFFFF" w:sz="8" w:space="9"/>
        </w:pBdr>
        <w:shd w:val="clear"/>
        <w:snapToGrid w:val="0"/>
        <w:spacing w:line="560" w:lineRule="exact"/>
        <w:jc w:val="center"/>
        <w:rPr>
          <w:rFonts w:ascii="方正小标宋简体" w:hAnsi="方正小标宋简体" w:eastAsia="方正小标宋简体" w:cs="方正小标宋简体"/>
          <w:b w:val="0"/>
          <w:bCs w:val="0"/>
          <w:color w:val="auto"/>
        </w:rPr>
      </w:pPr>
      <w:r>
        <w:rPr>
          <w:rFonts w:hint="eastAsia" w:ascii="方正小标宋简体" w:hAnsi="方正小标宋简体" w:eastAsia="方正小标宋简体" w:cs="方正小标宋简体"/>
          <w:b w:val="0"/>
          <w:bCs w:val="0"/>
          <w:color w:val="auto"/>
        </w:rPr>
        <w:t>2023年度</w:t>
      </w:r>
      <w:r>
        <w:rPr>
          <w:rFonts w:hint="eastAsia" w:ascii="方正小标宋简体" w:hAnsi="方正小标宋简体" w:eastAsia="方正小标宋简体" w:cs="方正小标宋简体"/>
          <w:b w:val="0"/>
          <w:bCs w:val="0"/>
          <w:color w:val="auto"/>
          <w:lang w:eastAsia="zh-CN"/>
        </w:rPr>
        <w:t>伊春市</w:t>
      </w:r>
      <w:r>
        <w:rPr>
          <w:rFonts w:hint="eastAsia" w:ascii="方正小标宋简体" w:hAnsi="方正小标宋简体" w:eastAsia="方正小标宋简体" w:cs="方正小标宋简体"/>
          <w:b w:val="0"/>
          <w:bCs w:val="0"/>
          <w:color w:val="auto"/>
        </w:rPr>
        <w:t>农产品供应链体系建设项目清单</w:t>
      </w:r>
    </w:p>
    <w:p>
      <w:pPr>
        <w:spacing w:line="560" w:lineRule="exact"/>
        <w:rPr>
          <w:rFonts w:ascii="Nimbus Roman No9 L" w:hAnsi="Nimbus Roman No9 L" w:cs="Nimbus Roman No9 L"/>
          <w:b w:val="0"/>
          <w:bCs w:val="0"/>
          <w:color w:val="auto"/>
          <w:sz w:val="32"/>
          <w:szCs w:val="32"/>
        </w:rPr>
      </w:pPr>
    </w:p>
    <w:tbl>
      <w:tblPr>
        <w:tblStyle w:val="9"/>
        <w:tblW w:w="12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52"/>
        <w:gridCol w:w="1565"/>
        <w:gridCol w:w="780"/>
        <w:gridCol w:w="1260"/>
        <w:gridCol w:w="1065"/>
        <w:gridCol w:w="1095"/>
        <w:gridCol w:w="2282"/>
        <w:gridCol w:w="1440"/>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18" w:type="dxa"/>
            <w:shd w:val="clear" w:color="auto" w:fill="auto"/>
            <w:vAlign w:val="center"/>
          </w:tcPr>
          <w:p>
            <w:pPr>
              <w:spacing w:line="560" w:lineRule="exact"/>
              <w:jc w:val="center"/>
              <w:rPr>
                <w:rFonts w:ascii="Nimbus Roman No9 L" w:hAnsi="Nimbus Roman No9 L" w:eastAsia="宋体" w:cs="Nimbus Roman No9 L"/>
                <w:b w:val="0"/>
                <w:bCs w:val="0"/>
                <w:color w:val="auto"/>
                <w:kern w:val="0"/>
                <w:sz w:val="20"/>
                <w:szCs w:val="21"/>
              </w:rPr>
            </w:pPr>
            <w:r>
              <w:rPr>
                <w:rFonts w:ascii="Nimbus Roman No9 L" w:hAnsi="Nimbus Roman No9 L" w:eastAsia="宋体" w:cs="Nimbus Roman No9 L"/>
                <w:b w:val="0"/>
                <w:bCs w:val="0"/>
                <w:color w:val="auto"/>
                <w:kern w:val="0"/>
                <w:sz w:val="20"/>
                <w:szCs w:val="21"/>
              </w:rPr>
              <w:t>序号</w:t>
            </w:r>
          </w:p>
        </w:tc>
        <w:tc>
          <w:tcPr>
            <w:tcW w:w="752" w:type="dxa"/>
            <w:shd w:val="clear" w:color="auto" w:fill="auto"/>
            <w:vAlign w:val="center"/>
          </w:tcPr>
          <w:p>
            <w:pPr>
              <w:spacing w:line="560" w:lineRule="exact"/>
              <w:jc w:val="center"/>
              <w:rPr>
                <w:rFonts w:ascii="Nimbus Roman No9 L" w:hAnsi="Nimbus Roman No9 L" w:eastAsia="宋体" w:cs="Nimbus Roman No9 L"/>
                <w:b w:val="0"/>
                <w:bCs w:val="0"/>
                <w:color w:val="auto"/>
                <w:kern w:val="0"/>
                <w:sz w:val="20"/>
                <w:szCs w:val="21"/>
              </w:rPr>
            </w:pPr>
            <w:r>
              <w:rPr>
                <w:rFonts w:ascii="Nimbus Roman No9 L" w:hAnsi="Nimbus Roman No9 L" w:eastAsia="宋体" w:cs="Nimbus Roman No9 L"/>
                <w:b w:val="0"/>
                <w:bCs w:val="0"/>
                <w:color w:val="auto"/>
                <w:kern w:val="0"/>
                <w:sz w:val="20"/>
                <w:szCs w:val="21"/>
              </w:rPr>
              <w:t>项目</w:t>
            </w:r>
          </w:p>
          <w:p>
            <w:pPr>
              <w:spacing w:line="560" w:lineRule="exact"/>
              <w:jc w:val="center"/>
              <w:rPr>
                <w:rFonts w:ascii="Nimbus Roman No9 L" w:hAnsi="Nimbus Roman No9 L" w:eastAsia="宋体" w:cs="Nimbus Roman No9 L"/>
                <w:b w:val="0"/>
                <w:bCs w:val="0"/>
                <w:color w:val="auto"/>
                <w:kern w:val="0"/>
                <w:sz w:val="20"/>
                <w:szCs w:val="21"/>
              </w:rPr>
            </w:pPr>
            <w:r>
              <w:rPr>
                <w:rFonts w:ascii="Nimbus Roman No9 L" w:hAnsi="Nimbus Roman No9 L" w:eastAsia="宋体" w:cs="Nimbus Roman No9 L"/>
                <w:b w:val="0"/>
                <w:bCs w:val="0"/>
                <w:color w:val="auto"/>
                <w:kern w:val="0"/>
                <w:sz w:val="20"/>
                <w:szCs w:val="21"/>
              </w:rPr>
              <w:t>位置</w:t>
            </w:r>
          </w:p>
        </w:tc>
        <w:tc>
          <w:tcPr>
            <w:tcW w:w="1565" w:type="dxa"/>
            <w:shd w:val="clear" w:color="auto" w:fill="auto"/>
            <w:vAlign w:val="center"/>
          </w:tcPr>
          <w:p>
            <w:pPr>
              <w:spacing w:line="560" w:lineRule="exact"/>
              <w:jc w:val="center"/>
              <w:rPr>
                <w:rFonts w:ascii="Nimbus Roman No9 L" w:hAnsi="Nimbus Roman No9 L" w:eastAsia="宋体" w:cs="Nimbus Roman No9 L"/>
                <w:b w:val="0"/>
                <w:bCs w:val="0"/>
                <w:color w:val="auto"/>
                <w:kern w:val="0"/>
                <w:sz w:val="20"/>
                <w:szCs w:val="21"/>
              </w:rPr>
            </w:pPr>
            <w:r>
              <w:rPr>
                <w:rFonts w:ascii="Nimbus Roman No9 L" w:hAnsi="Nimbus Roman No9 L" w:eastAsia="宋体" w:cs="Nimbus Roman No9 L"/>
                <w:b w:val="0"/>
                <w:bCs w:val="0"/>
                <w:color w:val="auto"/>
                <w:kern w:val="0"/>
                <w:sz w:val="20"/>
                <w:szCs w:val="21"/>
              </w:rPr>
              <w:t>项目</w:t>
            </w:r>
          </w:p>
          <w:p>
            <w:pPr>
              <w:spacing w:line="560" w:lineRule="exact"/>
              <w:jc w:val="center"/>
              <w:rPr>
                <w:rFonts w:ascii="Nimbus Roman No9 L" w:hAnsi="Nimbus Roman No9 L" w:eastAsia="宋体" w:cs="Nimbus Roman No9 L"/>
                <w:b w:val="0"/>
                <w:bCs w:val="0"/>
                <w:color w:val="auto"/>
                <w:kern w:val="0"/>
                <w:sz w:val="20"/>
                <w:szCs w:val="21"/>
              </w:rPr>
            </w:pPr>
            <w:r>
              <w:rPr>
                <w:rFonts w:ascii="Nimbus Roman No9 L" w:hAnsi="Nimbus Roman No9 L" w:eastAsia="宋体" w:cs="Nimbus Roman No9 L"/>
                <w:b w:val="0"/>
                <w:bCs w:val="0"/>
                <w:color w:val="auto"/>
                <w:kern w:val="0"/>
                <w:sz w:val="20"/>
                <w:szCs w:val="21"/>
              </w:rPr>
              <w:t>名称</w:t>
            </w:r>
          </w:p>
        </w:tc>
        <w:tc>
          <w:tcPr>
            <w:tcW w:w="780" w:type="dxa"/>
            <w:shd w:val="clear" w:color="auto" w:fill="auto"/>
            <w:vAlign w:val="center"/>
          </w:tcPr>
          <w:p>
            <w:pPr>
              <w:spacing w:line="560" w:lineRule="exact"/>
              <w:jc w:val="center"/>
              <w:rPr>
                <w:rFonts w:ascii="Nimbus Roman No9 L" w:hAnsi="Nimbus Roman No9 L" w:eastAsia="宋体" w:cs="Nimbus Roman No9 L"/>
                <w:b w:val="0"/>
                <w:bCs w:val="0"/>
                <w:color w:val="auto"/>
                <w:kern w:val="0"/>
                <w:sz w:val="20"/>
                <w:szCs w:val="21"/>
              </w:rPr>
            </w:pPr>
            <w:r>
              <w:rPr>
                <w:rFonts w:ascii="Nimbus Roman No9 L" w:hAnsi="Nimbus Roman No9 L" w:eastAsia="宋体" w:cs="Nimbus Roman No9 L"/>
                <w:b w:val="0"/>
                <w:bCs w:val="0"/>
                <w:color w:val="auto"/>
                <w:kern w:val="0"/>
                <w:sz w:val="20"/>
                <w:szCs w:val="21"/>
              </w:rPr>
              <w:t>建设</w:t>
            </w:r>
          </w:p>
          <w:p>
            <w:pPr>
              <w:spacing w:line="560" w:lineRule="exact"/>
              <w:jc w:val="center"/>
              <w:rPr>
                <w:rFonts w:ascii="Nimbus Roman No9 L" w:hAnsi="Nimbus Roman No9 L" w:eastAsia="宋体" w:cs="Nimbus Roman No9 L"/>
                <w:b w:val="0"/>
                <w:bCs w:val="0"/>
                <w:color w:val="auto"/>
                <w:kern w:val="0"/>
                <w:sz w:val="20"/>
                <w:szCs w:val="21"/>
              </w:rPr>
            </w:pPr>
            <w:r>
              <w:rPr>
                <w:rFonts w:ascii="Nimbus Roman No9 L" w:hAnsi="Nimbus Roman No9 L" w:eastAsia="宋体" w:cs="Nimbus Roman No9 L"/>
                <w:b w:val="0"/>
                <w:bCs w:val="0"/>
                <w:color w:val="auto"/>
                <w:kern w:val="0"/>
                <w:sz w:val="20"/>
                <w:szCs w:val="21"/>
              </w:rPr>
              <w:t>类型</w:t>
            </w:r>
          </w:p>
        </w:tc>
        <w:tc>
          <w:tcPr>
            <w:tcW w:w="1260" w:type="dxa"/>
            <w:shd w:val="clear" w:color="auto" w:fill="auto"/>
            <w:vAlign w:val="center"/>
          </w:tcPr>
          <w:p>
            <w:pPr>
              <w:spacing w:line="560" w:lineRule="exact"/>
              <w:jc w:val="center"/>
              <w:rPr>
                <w:rFonts w:ascii="Nimbus Roman No9 L" w:hAnsi="Nimbus Roman No9 L" w:eastAsia="宋体" w:cs="Nimbus Roman No9 L"/>
                <w:b w:val="0"/>
                <w:bCs w:val="0"/>
                <w:color w:val="auto"/>
                <w:kern w:val="0"/>
                <w:sz w:val="20"/>
                <w:szCs w:val="21"/>
              </w:rPr>
            </w:pPr>
            <w:r>
              <w:rPr>
                <w:rFonts w:ascii="Nimbus Roman No9 L" w:hAnsi="Nimbus Roman No9 L" w:eastAsia="宋体" w:cs="Nimbus Roman No9 L"/>
                <w:b w:val="0"/>
                <w:bCs w:val="0"/>
                <w:color w:val="auto"/>
                <w:kern w:val="0"/>
                <w:sz w:val="20"/>
                <w:szCs w:val="21"/>
              </w:rPr>
              <w:t>财政资金支持方向</w:t>
            </w:r>
          </w:p>
          <w:p>
            <w:pPr>
              <w:spacing w:line="560" w:lineRule="exact"/>
              <w:jc w:val="center"/>
              <w:rPr>
                <w:rFonts w:ascii="Nimbus Roman No9 L" w:hAnsi="Nimbus Roman No9 L" w:eastAsia="宋体" w:cs="Nimbus Roman No9 L"/>
                <w:b w:val="0"/>
                <w:bCs w:val="0"/>
                <w:color w:val="auto"/>
                <w:kern w:val="0"/>
                <w:sz w:val="20"/>
                <w:szCs w:val="21"/>
              </w:rPr>
            </w:pPr>
            <w:r>
              <w:rPr>
                <w:rFonts w:ascii="Nimbus Roman No9 L" w:hAnsi="Nimbus Roman No9 L" w:eastAsia="宋体" w:cs="Nimbus Roman No9 L"/>
                <w:b w:val="0"/>
                <w:bCs w:val="0"/>
                <w:color w:val="auto"/>
                <w:kern w:val="0"/>
                <w:sz w:val="20"/>
                <w:szCs w:val="21"/>
              </w:rPr>
              <w:t>（填序号）</w:t>
            </w:r>
          </w:p>
        </w:tc>
        <w:tc>
          <w:tcPr>
            <w:tcW w:w="1065" w:type="dxa"/>
            <w:shd w:val="clear" w:color="auto" w:fill="auto"/>
            <w:vAlign w:val="center"/>
          </w:tcPr>
          <w:p>
            <w:pPr>
              <w:spacing w:line="560" w:lineRule="exact"/>
              <w:jc w:val="center"/>
              <w:rPr>
                <w:rFonts w:ascii="Nimbus Roman No9 L" w:hAnsi="Nimbus Roman No9 L" w:eastAsia="宋体" w:cs="Nimbus Roman No9 L"/>
                <w:b w:val="0"/>
                <w:bCs w:val="0"/>
                <w:color w:val="auto"/>
                <w:kern w:val="0"/>
                <w:sz w:val="20"/>
                <w:szCs w:val="21"/>
              </w:rPr>
            </w:pPr>
            <w:r>
              <w:rPr>
                <w:rFonts w:ascii="Nimbus Roman No9 L" w:hAnsi="Nimbus Roman No9 L" w:eastAsia="宋体" w:cs="Nimbus Roman No9 L"/>
                <w:b w:val="0"/>
                <w:bCs w:val="0"/>
                <w:color w:val="auto"/>
                <w:kern w:val="0"/>
                <w:sz w:val="20"/>
                <w:szCs w:val="21"/>
              </w:rPr>
              <w:t>企业</w:t>
            </w:r>
          </w:p>
          <w:p>
            <w:pPr>
              <w:spacing w:line="560" w:lineRule="exact"/>
              <w:jc w:val="center"/>
              <w:rPr>
                <w:rFonts w:ascii="Nimbus Roman No9 L" w:hAnsi="Nimbus Roman No9 L" w:eastAsia="宋体" w:cs="Nimbus Roman No9 L"/>
                <w:b w:val="0"/>
                <w:bCs w:val="0"/>
                <w:color w:val="auto"/>
                <w:kern w:val="0"/>
                <w:sz w:val="20"/>
                <w:szCs w:val="21"/>
              </w:rPr>
            </w:pPr>
            <w:r>
              <w:rPr>
                <w:rFonts w:ascii="Nimbus Roman No9 L" w:hAnsi="Nimbus Roman No9 L" w:eastAsia="宋体" w:cs="Nimbus Roman No9 L"/>
                <w:b w:val="0"/>
                <w:bCs w:val="0"/>
                <w:color w:val="auto"/>
                <w:kern w:val="0"/>
                <w:sz w:val="20"/>
                <w:szCs w:val="21"/>
              </w:rPr>
              <w:t>名称</w:t>
            </w:r>
          </w:p>
        </w:tc>
        <w:tc>
          <w:tcPr>
            <w:tcW w:w="1095" w:type="dxa"/>
            <w:shd w:val="clear" w:color="auto" w:fill="auto"/>
            <w:vAlign w:val="center"/>
          </w:tcPr>
          <w:p>
            <w:pPr>
              <w:spacing w:line="560" w:lineRule="exact"/>
              <w:jc w:val="center"/>
              <w:rPr>
                <w:rFonts w:ascii="Nimbus Roman No9 L" w:hAnsi="Nimbus Roman No9 L" w:eastAsia="宋体" w:cs="Nimbus Roman No9 L"/>
                <w:b w:val="0"/>
                <w:bCs w:val="0"/>
                <w:color w:val="auto"/>
                <w:kern w:val="0"/>
                <w:sz w:val="20"/>
                <w:szCs w:val="21"/>
              </w:rPr>
            </w:pPr>
            <w:r>
              <w:rPr>
                <w:rFonts w:ascii="Nimbus Roman No9 L" w:hAnsi="Nimbus Roman No9 L" w:eastAsia="宋体" w:cs="Nimbus Roman No9 L"/>
                <w:b w:val="0"/>
                <w:bCs w:val="0"/>
                <w:color w:val="auto"/>
                <w:kern w:val="0"/>
                <w:sz w:val="20"/>
                <w:szCs w:val="21"/>
              </w:rPr>
              <w:t>总投资</w:t>
            </w:r>
          </w:p>
        </w:tc>
        <w:tc>
          <w:tcPr>
            <w:tcW w:w="2282" w:type="dxa"/>
            <w:shd w:val="clear" w:color="auto" w:fill="auto"/>
            <w:vAlign w:val="center"/>
          </w:tcPr>
          <w:p>
            <w:pPr>
              <w:spacing w:line="560" w:lineRule="exact"/>
              <w:jc w:val="center"/>
              <w:rPr>
                <w:rFonts w:ascii="Nimbus Roman No9 L" w:hAnsi="Nimbus Roman No9 L" w:eastAsia="宋体" w:cs="Nimbus Roman No9 L"/>
                <w:b w:val="0"/>
                <w:bCs w:val="0"/>
                <w:color w:val="auto"/>
                <w:kern w:val="0"/>
                <w:sz w:val="20"/>
                <w:szCs w:val="21"/>
              </w:rPr>
            </w:pPr>
            <w:r>
              <w:rPr>
                <w:rFonts w:ascii="Nimbus Roman No9 L" w:hAnsi="Nimbus Roman No9 L" w:eastAsia="宋体" w:cs="Nimbus Roman No9 L"/>
                <w:b w:val="0"/>
                <w:bCs w:val="0"/>
                <w:color w:val="auto"/>
                <w:kern w:val="0"/>
                <w:sz w:val="20"/>
                <w:szCs w:val="21"/>
              </w:rPr>
              <w:t>建设</w:t>
            </w:r>
          </w:p>
          <w:p>
            <w:pPr>
              <w:spacing w:line="560" w:lineRule="exact"/>
              <w:jc w:val="center"/>
              <w:rPr>
                <w:rFonts w:ascii="Nimbus Roman No9 L" w:hAnsi="Nimbus Roman No9 L" w:eastAsia="宋体" w:cs="Nimbus Roman No9 L"/>
                <w:b w:val="0"/>
                <w:bCs w:val="0"/>
                <w:color w:val="auto"/>
                <w:kern w:val="0"/>
                <w:sz w:val="20"/>
                <w:szCs w:val="21"/>
              </w:rPr>
            </w:pPr>
            <w:r>
              <w:rPr>
                <w:rFonts w:ascii="Nimbus Roman No9 L" w:hAnsi="Nimbus Roman No9 L" w:eastAsia="宋体" w:cs="Nimbus Roman No9 L"/>
                <w:b w:val="0"/>
                <w:bCs w:val="0"/>
                <w:color w:val="auto"/>
                <w:kern w:val="0"/>
                <w:sz w:val="20"/>
                <w:szCs w:val="21"/>
              </w:rPr>
              <w:t>内容</w:t>
            </w:r>
          </w:p>
        </w:tc>
        <w:tc>
          <w:tcPr>
            <w:tcW w:w="1440" w:type="dxa"/>
            <w:shd w:val="clear" w:color="auto" w:fill="auto"/>
            <w:vAlign w:val="center"/>
          </w:tcPr>
          <w:p>
            <w:pPr>
              <w:spacing w:line="560" w:lineRule="exact"/>
              <w:jc w:val="center"/>
              <w:rPr>
                <w:rFonts w:ascii="Nimbus Roman No9 L" w:hAnsi="Nimbus Roman No9 L" w:eastAsia="宋体" w:cs="Nimbus Roman No9 L"/>
                <w:b w:val="0"/>
                <w:bCs w:val="0"/>
                <w:color w:val="auto"/>
                <w:kern w:val="0"/>
                <w:sz w:val="20"/>
                <w:szCs w:val="21"/>
              </w:rPr>
            </w:pPr>
            <w:r>
              <w:rPr>
                <w:rFonts w:ascii="Nimbus Roman No9 L" w:hAnsi="Nimbus Roman No9 L" w:eastAsia="宋体" w:cs="Nimbus Roman No9 L"/>
                <w:b w:val="0"/>
                <w:bCs w:val="0"/>
                <w:color w:val="auto"/>
                <w:kern w:val="0"/>
                <w:sz w:val="20"/>
                <w:szCs w:val="21"/>
              </w:rPr>
              <w:t>建设</w:t>
            </w:r>
          </w:p>
          <w:p>
            <w:pPr>
              <w:spacing w:line="560" w:lineRule="exact"/>
              <w:jc w:val="center"/>
              <w:rPr>
                <w:rFonts w:ascii="Nimbus Roman No9 L" w:hAnsi="Nimbus Roman No9 L" w:eastAsia="宋体" w:cs="Nimbus Roman No9 L"/>
                <w:b w:val="0"/>
                <w:bCs w:val="0"/>
                <w:color w:val="auto"/>
                <w:kern w:val="0"/>
                <w:sz w:val="20"/>
                <w:szCs w:val="21"/>
              </w:rPr>
            </w:pPr>
            <w:r>
              <w:rPr>
                <w:rFonts w:ascii="Nimbus Roman No9 L" w:hAnsi="Nimbus Roman No9 L" w:eastAsia="宋体" w:cs="Nimbus Roman No9 L"/>
                <w:b w:val="0"/>
                <w:bCs w:val="0"/>
                <w:color w:val="auto"/>
                <w:kern w:val="0"/>
                <w:sz w:val="20"/>
                <w:szCs w:val="21"/>
              </w:rPr>
              <w:t>周期</w:t>
            </w:r>
          </w:p>
        </w:tc>
        <w:tc>
          <w:tcPr>
            <w:tcW w:w="2171" w:type="dxa"/>
            <w:shd w:val="clear" w:color="auto" w:fill="auto"/>
            <w:vAlign w:val="center"/>
          </w:tcPr>
          <w:p>
            <w:pPr>
              <w:spacing w:line="560" w:lineRule="exact"/>
              <w:jc w:val="center"/>
              <w:rPr>
                <w:rFonts w:ascii="Nimbus Roman No9 L" w:hAnsi="Nimbus Roman No9 L" w:eastAsia="宋体" w:cs="Nimbus Roman No9 L"/>
                <w:b w:val="0"/>
                <w:bCs w:val="0"/>
                <w:color w:val="auto"/>
                <w:kern w:val="0"/>
                <w:sz w:val="20"/>
                <w:szCs w:val="21"/>
              </w:rPr>
            </w:pPr>
            <w:r>
              <w:rPr>
                <w:rFonts w:ascii="Nimbus Roman No9 L" w:hAnsi="Nimbus Roman No9 L" w:eastAsia="宋体" w:cs="Nimbus Roman No9 L"/>
                <w:b w:val="0"/>
                <w:bCs w:val="0"/>
                <w:color w:val="auto"/>
                <w:kern w:val="0"/>
                <w:sz w:val="20"/>
                <w:szCs w:val="21"/>
              </w:rPr>
              <w:t>实现</w:t>
            </w:r>
          </w:p>
          <w:p>
            <w:pPr>
              <w:spacing w:line="560" w:lineRule="exact"/>
              <w:jc w:val="center"/>
              <w:rPr>
                <w:rFonts w:ascii="Nimbus Roman No9 L" w:hAnsi="Nimbus Roman No9 L" w:eastAsia="宋体" w:cs="Nimbus Roman No9 L"/>
                <w:b w:val="0"/>
                <w:bCs w:val="0"/>
                <w:color w:val="auto"/>
                <w:kern w:val="0"/>
                <w:sz w:val="20"/>
                <w:szCs w:val="21"/>
              </w:rPr>
            </w:pPr>
            <w:r>
              <w:rPr>
                <w:rFonts w:ascii="Nimbus Roman No9 L" w:hAnsi="Nimbus Roman No9 L" w:eastAsia="宋体" w:cs="Nimbus Roman No9 L"/>
                <w:b w:val="0"/>
                <w:bCs w:val="0"/>
                <w:color w:val="auto"/>
                <w:kern w:val="0"/>
                <w:sz w:val="20"/>
                <w:szCs w:val="21"/>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shd w:val="clear" w:color="auto" w:fill="auto"/>
            <w:vAlign w:val="center"/>
          </w:tcPr>
          <w:p>
            <w:pPr>
              <w:spacing w:line="560" w:lineRule="exact"/>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p>
        </w:tc>
        <w:tc>
          <w:tcPr>
            <w:tcW w:w="752" w:type="dxa"/>
            <w:shd w:val="clear" w:color="auto" w:fill="auto"/>
            <w:vAlign w:val="center"/>
          </w:tcPr>
          <w:p>
            <w:pPr>
              <w:shd w:val="clear"/>
              <w:spacing w:line="540" w:lineRule="exact"/>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伊春市乌翠区</w:t>
            </w:r>
          </w:p>
        </w:tc>
        <w:tc>
          <w:tcPr>
            <w:tcW w:w="1565" w:type="dxa"/>
            <w:shd w:val="clear" w:color="auto" w:fill="auto"/>
            <w:vAlign w:val="center"/>
          </w:tcPr>
          <w:p>
            <w:pPr>
              <w:shd w:val="clear"/>
              <w:spacing w:line="540" w:lineRule="exact"/>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黑龙江（伊春）中药材物流基地冷链体系建设项目</w:t>
            </w:r>
          </w:p>
        </w:tc>
        <w:tc>
          <w:tcPr>
            <w:tcW w:w="780" w:type="dxa"/>
            <w:shd w:val="clear" w:color="auto" w:fill="auto"/>
            <w:vAlign w:val="center"/>
          </w:tcPr>
          <w:p>
            <w:pPr>
              <w:shd w:val="clear"/>
              <w:spacing w:line="540" w:lineRule="exact"/>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新建</w:t>
            </w:r>
          </w:p>
        </w:tc>
        <w:tc>
          <w:tcPr>
            <w:tcW w:w="1260" w:type="dxa"/>
            <w:shd w:val="clear" w:color="auto" w:fill="auto"/>
            <w:vAlign w:val="center"/>
          </w:tcPr>
          <w:p>
            <w:pPr>
              <w:shd w:val="clear"/>
              <w:spacing w:line="540" w:lineRule="exact"/>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eastAsia="zh-CN"/>
              </w:rPr>
              <w:t>二</w:t>
            </w:r>
          </w:p>
        </w:tc>
        <w:tc>
          <w:tcPr>
            <w:tcW w:w="1065" w:type="dxa"/>
            <w:shd w:val="clear" w:color="auto" w:fill="auto"/>
            <w:vAlign w:val="center"/>
          </w:tcPr>
          <w:p>
            <w:pPr>
              <w:shd w:val="clear"/>
              <w:spacing w:line="540" w:lineRule="exact"/>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黑龙江越橘庄园生物科技有限公司</w:t>
            </w:r>
          </w:p>
        </w:tc>
        <w:tc>
          <w:tcPr>
            <w:tcW w:w="1095" w:type="dxa"/>
            <w:shd w:val="clear" w:color="auto" w:fill="auto"/>
            <w:vAlign w:val="center"/>
          </w:tcPr>
          <w:p>
            <w:pPr>
              <w:shd w:val="clear"/>
              <w:spacing w:line="540" w:lineRule="exact"/>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5</w:t>
            </w:r>
            <w:r>
              <w:rPr>
                <w:rFonts w:hint="eastAsia" w:ascii="宋体" w:hAnsi="宋体" w:eastAsia="宋体" w:cs="宋体"/>
                <w:b w:val="0"/>
                <w:bCs w:val="0"/>
                <w:color w:val="auto"/>
                <w:sz w:val="21"/>
                <w:szCs w:val="21"/>
                <w:lang w:val="en-US" w:eastAsia="zh-CN"/>
              </w:rPr>
              <w:t>050万元</w:t>
            </w:r>
          </w:p>
        </w:tc>
        <w:tc>
          <w:tcPr>
            <w:tcW w:w="2282" w:type="dxa"/>
            <w:shd w:val="clear" w:color="auto" w:fill="auto"/>
            <w:vAlign w:val="center"/>
          </w:tcPr>
          <w:p>
            <w:pPr>
              <w:shd w:val="clear"/>
              <w:spacing w:line="360" w:lineRule="exact"/>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项目总库容</w:t>
            </w:r>
            <w:r>
              <w:rPr>
                <w:rFonts w:hint="eastAsia" w:ascii="宋体" w:hAnsi="宋体" w:eastAsia="宋体" w:cs="宋体"/>
                <w:b w:val="0"/>
                <w:bCs w:val="0"/>
                <w:color w:val="auto"/>
                <w:sz w:val="21"/>
                <w:szCs w:val="21"/>
                <w:lang w:val="en-US" w:eastAsia="zh-CN"/>
              </w:rPr>
              <w:t>54360</w:t>
            </w:r>
            <w:r>
              <w:rPr>
                <w:rFonts w:hint="eastAsia" w:ascii="宋体" w:hAnsi="宋体" w:eastAsia="宋体" w:cs="宋体"/>
                <w:b w:val="0"/>
                <w:bCs w:val="0"/>
                <w:color w:val="auto"/>
                <w:sz w:val="21"/>
                <w:szCs w:val="21"/>
              </w:rPr>
              <w:t>m³。建设恒温库库容</w:t>
            </w:r>
            <w:r>
              <w:rPr>
                <w:rFonts w:hint="eastAsia" w:ascii="宋体" w:hAnsi="宋体" w:eastAsia="宋体" w:cs="宋体"/>
                <w:b w:val="0"/>
                <w:bCs w:val="0"/>
                <w:color w:val="auto"/>
                <w:sz w:val="21"/>
                <w:szCs w:val="21"/>
                <w:lang w:val="en-US" w:eastAsia="zh-CN"/>
              </w:rPr>
              <w:t>22680</w:t>
            </w:r>
            <w:r>
              <w:rPr>
                <w:rFonts w:hint="eastAsia" w:ascii="宋体" w:hAnsi="宋体" w:eastAsia="宋体" w:cs="宋体"/>
                <w:b w:val="0"/>
                <w:bCs w:val="0"/>
                <w:color w:val="auto"/>
                <w:sz w:val="21"/>
                <w:szCs w:val="21"/>
              </w:rPr>
              <w:t>立方米（5</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10℃）；冷藏库库容</w:t>
            </w:r>
            <w:r>
              <w:rPr>
                <w:rFonts w:hint="eastAsia" w:ascii="宋体" w:hAnsi="宋体" w:eastAsia="宋体" w:cs="宋体"/>
                <w:b w:val="0"/>
                <w:bCs w:val="0"/>
                <w:color w:val="auto"/>
                <w:sz w:val="21"/>
                <w:szCs w:val="21"/>
                <w:lang w:val="en-US" w:eastAsia="zh-CN"/>
              </w:rPr>
              <w:t>22680</w:t>
            </w:r>
            <w:r>
              <w:rPr>
                <w:rFonts w:hint="eastAsia" w:ascii="宋体" w:hAnsi="宋体" w:eastAsia="宋体" w:cs="宋体"/>
                <w:b w:val="0"/>
                <w:bCs w:val="0"/>
                <w:color w:val="auto"/>
                <w:sz w:val="21"/>
                <w:szCs w:val="21"/>
              </w:rPr>
              <w:t>立方米（±5℃）；冷库库容</w:t>
            </w: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rPr>
              <w:t>000立方米（</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18℃）；</w:t>
            </w:r>
            <w:r>
              <w:rPr>
                <w:rFonts w:hint="eastAsia" w:ascii="宋体" w:hAnsi="宋体" w:eastAsia="宋体" w:cs="宋体"/>
                <w:b w:val="0"/>
                <w:bCs w:val="0"/>
                <w:color w:val="auto"/>
                <w:sz w:val="21"/>
                <w:szCs w:val="21"/>
                <w:lang w:eastAsia="zh-CN"/>
              </w:rPr>
              <w:t>购置</w:t>
            </w:r>
            <w:r>
              <w:rPr>
                <w:rFonts w:hint="eastAsia" w:ascii="宋体" w:hAnsi="宋体" w:eastAsia="宋体" w:cs="宋体"/>
                <w:b w:val="0"/>
                <w:bCs w:val="0"/>
                <w:color w:val="auto"/>
                <w:sz w:val="21"/>
                <w:szCs w:val="21"/>
              </w:rPr>
              <w:t>冷藏车</w:t>
            </w:r>
            <w:r>
              <w:rPr>
                <w:rFonts w:hint="eastAsia" w:ascii="宋体" w:hAnsi="宋体" w:eastAsia="宋体" w:cs="宋体"/>
                <w:b w:val="0"/>
                <w:bCs w:val="0"/>
                <w:color w:val="auto"/>
                <w:sz w:val="21"/>
                <w:szCs w:val="21"/>
                <w:lang w:val="en-US" w:eastAsia="zh-CN"/>
              </w:rPr>
              <w:t>2辆</w:t>
            </w:r>
            <w:r>
              <w:rPr>
                <w:rFonts w:hint="eastAsia" w:ascii="宋体" w:hAnsi="宋体" w:eastAsia="宋体" w:cs="宋体"/>
                <w:b w:val="0"/>
                <w:bCs w:val="0"/>
                <w:color w:val="auto"/>
                <w:sz w:val="21"/>
                <w:szCs w:val="21"/>
                <w:lang w:eastAsia="zh-CN"/>
              </w:rPr>
              <w:t>。</w:t>
            </w:r>
          </w:p>
        </w:tc>
        <w:tc>
          <w:tcPr>
            <w:tcW w:w="1440" w:type="dxa"/>
            <w:shd w:val="clear" w:color="auto" w:fill="auto"/>
            <w:vAlign w:val="center"/>
          </w:tcPr>
          <w:p>
            <w:pPr>
              <w:shd w:val="clear"/>
              <w:spacing w:line="540" w:lineRule="exact"/>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2023.4</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2023.11</w:t>
            </w:r>
          </w:p>
        </w:tc>
        <w:tc>
          <w:tcPr>
            <w:tcW w:w="2171" w:type="dxa"/>
            <w:shd w:val="clear" w:color="auto" w:fill="auto"/>
            <w:vAlign w:val="center"/>
          </w:tcPr>
          <w:p>
            <w:pPr>
              <w:shd w:val="clear"/>
              <w:spacing w:line="540" w:lineRule="exact"/>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1、运输配送功能2、仓储管理功能3、物流信息服务功能4、冷链物流资源整合功能等</w:t>
            </w:r>
            <w:r>
              <w:rPr>
                <w:rFonts w:hint="eastAsia" w:ascii="宋体" w:hAnsi="宋体" w:eastAsia="宋体" w:cs="宋体"/>
                <w:b w:val="0"/>
                <w:bCs w:val="0"/>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518" w:type="dxa"/>
            <w:shd w:val="clear" w:color="auto" w:fill="auto"/>
            <w:vAlign w:val="center"/>
          </w:tcPr>
          <w:p>
            <w:pPr>
              <w:shd w:val="clear" w:fill="auto"/>
              <w:spacing w:line="560" w:lineRule="exact"/>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p>
        </w:tc>
        <w:tc>
          <w:tcPr>
            <w:tcW w:w="75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伊春市汤旺县</w:t>
            </w:r>
          </w:p>
        </w:tc>
        <w:tc>
          <w:tcPr>
            <w:tcW w:w="15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lang w:val="en-US" w:eastAsia="zh-CN"/>
              </w:rPr>
              <w:t>汤旺县松蓝农产品</w:t>
            </w:r>
            <w:r>
              <w:rPr>
                <w:rFonts w:hint="eastAsia" w:ascii="宋体" w:hAnsi="宋体" w:eastAsia="宋体" w:cs="宋体"/>
                <w:b w:val="0"/>
                <w:bCs w:val="0"/>
                <w:color w:val="auto"/>
                <w:sz w:val="21"/>
                <w:szCs w:val="21"/>
                <w:highlight w:val="none"/>
                <w:lang w:val="en-US" w:eastAsia="zh-Hans"/>
              </w:rPr>
              <w:t>商贸</w:t>
            </w:r>
            <w:r>
              <w:rPr>
                <w:rFonts w:hint="eastAsia" w:ascii="宋体" w:hAnsi="宋体" w:eastAsia="宋体" w:cs="宋体"/>
                <w:b w:val="0"/>
                <w:bCs w:val="0"/>
                <w:color w:val="auto"/>
                <w:sz w:val="21"/>
                <w:szCs w:val="21"/>
                <w:highlight w:val="none"/>
                <w:lang w:val="en-US" w:eastAsia="zh-CN"/>
              </w:rPr>
              <w:t>冷链基地</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新建</w:t>
            </w:r>
          </w:p>
        </w:tc>
        <w:tc>
          <w:tcPr>
            <w:tcW w:w="12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二</w:t>
            </w:r>
          </w:p>
        </w:tc>
        <w:tc>
          <w:tcPr>
            <w:tcW w:w="10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汤旺县松蓝农产品</w:t>
            </w:r>
            <w:r>
              <w:rPr>
                <w:rFonts w:hint="eastAsia" w:ascii="宋体" w:hAnsi="宋体" w:eastAsia="宋体" w:cs="宋体"/>
                <w:b w:val="0"/>
                <w:bCs w:val="0"/>
                <w:color w:val="auto"/>
                <w:sz w:val="21"/>
                <w:szCs w:val="21"/>
                <w:highlight w:val="none"/>
                <w:lang w:val="en-US" w:eastAsia="zh-Hans"/>
              </w:rPr>
              <w:t>商贸</w:t>
            </w:r>
            <w:r>
              <w:rPr>
                <w:rFonts w:hint="eastAsia" w:ascii="宋体" w:hAnsi="宋体" w:eastAsia="宋体" w:cs="宋体"/>
                <w:b w:val="0"/>
                <w:bCs w:val="0"/>
                <w:color w:val="auto"/>
                <w:sz w:val="21"/>
                <w:szCs w:val="21"/>
                <w:highlight w:val="none"/>
                <w:lang w:val="en-US" w:eastAsia="zh-CN"/>
              </w:rPr>
              <w:t>冷链基地</w:t>
            </w:r>
          </w:p>
        </w:tc>
        <w:tc>
          <w:tcPr>
            <w:tcW w:w="1095" w:type="dxa"/>
            <w:shd w:val="clear" w:color="auto" w:fill="auto"/>
            <w:vAlign w:val="center"/>
          </w:tcPr>
          <w:p>
            <w:pPr>
              <w:shd w:val="clear" w:fill="auto"/>
              <w:spacing w:line="56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5030万元</w:t>
            </w:r>
          </w:p>
        </w:tc>
        <w:tc>
          <w:tcPr>
            <w:tcW w:w="228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项目主要包括建设</w:t>
            </w:r>
            <w:r>
              <w:rPr>
                <w:rFonts w:hint="eastAsia" w:ascii="宋体" w:hAnsi="宋体" w:eastAsia="宋体" w:cs="宋体"/>
                <w:b w:val="0"/>
                <w:bCs w:val="0"/>
                <w:color w:val="auto"/>
                <w:sz w:val="21"/>
                <w:szCs w:val="21"/>
                <w:highlight w:val="none"/>
                <w:lang w:val="en-US" w:eastAsia="zh-Hans"/>
              </w:rPr>
              <w:t>低温</w:t>
            </w:r>
            <w:r>
              <w:rPr>
                <w:rFonts w:hint="eastAsia" w:ascii="宋体" w:hAnsi="宋体" w:eastAsia="宋体" w:cs="宋体"/>
                <w:b w:val="0"/>
                <w:bCs w:val="0"/>
                <w:color w:val="auto"/>
                <w:sz w:val="21"/>
                <w:szCs w:val="21"/>
                <w:highlight w:val="none"/>
                <w:lang w:val="en-US" w:eastAsia="zh-CN"/>
              </w:rPr>
              <w:t>冷库3个，新增1个</w:t>
            </w:r>
            <w:r>
              <w:rPr>
                <w:rFonts w:hint="eastAsia" w:ascii="宋体" w:hAnsi="宋体" w:eastAsia="宋体" w:cs="宋体"/>
                <w:b w:val="0"/>
                <w:bCs w:val="0"/>
                <w:color w:val="auto"/>
                <w:sz w:val="21"/>
                <w:szCs w:val="21"/>
                <w:highlight w:val="none"/>
                <w:lang w:val="en-US" w:eastAsia="zh-Hans"/>
              </w:rPr>
              <w:t>库容</w:t>
            </w:r>
            <w:r>
              <w:rPr>
                <w:rFonts w:hint="eastAsia" w:ascii="宋体" w:hAnsi="宋体" w:eastAsia="宋体" w:cs="宋体"/>
                <w:b w:val="0"/>
                <w:bCs w:val="0"/>
                <w:color w:val="auto"/>
                <w:sz w:val="21"/>
                <w:szCs w:val="21"/>
                <w:highlight w:val="none"/>
                <w:lang w:eastAsia="zh-CN"/>
              </w:rPr>
              <w:t>6480</w:t>
            </w:r>
            <w:r>
              <w:rPr>
                <w:rFonts w:hint="eastAsia" w:ascii="宋体" w:hAnsi="宋体" w:eastAsia="宋体" w:cs="宋体"/>
                <w:b w:val="0"/>
                <w:bCs w:val="0"/>
                <w:color w:val="auto"/>
                <w:sz w:val="21"/>
                <w:szCs w:val="21"/>
                <w:highlight w:val="none"/>
                <w:lang w:val="en-US" w:eastAsia="zh-CN"/>
              </w:rPr>
              <w:t>m³</w:t>
            </w:r>
            <w:r>
              <w:rPr>
                <w:rFonts w:hint="eastAsia" w:ascii="宋体" w:hAnsi="宋体" w:eastAsia="宋体" w:cs="宋体"/>
                <w:b w:val="0"/>
                <w:bCs w:val="0"/>
                <w:color w:val="auto"/>
                <w:sz w:val="21"/>
                <w:szCs w:val="21"/>
                <w:highlight w:val="none"/>
                <w:lang w:eastAsia="zh-Hans"/>
              </w:rPr>
              <w:t>（</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Hans"/>
              </w:rPr>
              <w:t>22℃）</w:t>
            </w:r>
            <w:r>
              <w:rPr>
                <w:rFonts w:hint="eastAsia" w:ascii="宋体" w:hAnsi="宋体" w:eastAsia="宋体" w:cs="宋体"/>
                <w:b w:val="0"/>
                <w:bCs w:val="0"/>
                <w:color w:val="auto"/>
                <w:sz w:val="21"/>
                <w:szCs w:val="21"/>
                <w:highlight w:val="none"/>
                <w:lang w:val="en-US" w:eastAsia="zh-CN"/>
              </w:rPr>
              <w:t>，改建</w:t>
            </w:r>
            <w:r>
              <w:rPr>
                <w:rFonts w:hint="eastAsia" w:ascii="宋体" w:hAnsi="宋体" w:eastAsia="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lang w:val="en-US" w:eastAsia="zh-CN"/>
              </w:rPr>
              <w:t>个</w:t>
            </w:r>
            <w:r>
              <w:rPr>
                <w:rFonts w:hint="eastAsia" w:ascii="宋体" w:hAnsi="宋体" w:eastAsia="宋体" w:cs="宋体"/>
                <w:b w:val="0"/>
                <w:bCs w:val="0"/>
                <w:color w:val="auto"/>
                <w:sz w:val="21"/>
                <w:szCs w:val="21"/>
                <w:highlight w:val="none"/>
                <w:lang w:val="en-US" w:eastAsia="zh-Hans"/>
              </w:rPr>
              <w:t>库容</w:t>
            </w:r>
            <w:r>
              <w:rPr>
                <w:rFonts w:hint="eastAsia" w:ascii="宋体" w:hAnsi="宋体" w:eastAsia="宋体" w:cs="宋体"/>
                <w:b w:val="0"/>
                <w:bCs w:val="0"/>
                <w:color w:val="auto"/>
                <w:sz w:val="21"/>
                <w:szCs w:val="21"/>
                <w:highlight w:val="none"/>
                <w:lang w:eastAsia="zh-Hans"/>
              </w:rPr>
              <w:t>5810.4</w:t>
            </w:r>
            <w:r>
              <w:rPr>
                <w:rFonts w:hint="eastAsia" w:ascii="宋体" w:hAnsi="宋体" w:eastAsia="宋体" w:cs="宋体"/>
                <w:b w:val="0"/>
                <w:bCs w:val="0"/>
                <w:color w:val="auto"/>
                <w:kern w:val="0"/>
                <w:sz w:val="21"/>
                <w:szCs w:val="21"/>
                <w:highlight w:val="none"/>
                <w:lang w:val="en-US" w:eastAsia="zh-CN"/>
              </w:rPr>
              <w:t>m³</w:t>
            </w:r>
            <w:r>
              <w:rPr>
                <w:rFonts w:hint="eastAsia" w:ascii="宋体" w:hAnsi="宋体" w:eastAsia="宋体" w:cs="宋体"/>
                <w:b w:val="0"/>
                <w:bCs w:val="0"/>
                <w:color w:val="auto"/>
                <w:sz w:val="21"/>
                <w:szCs w:val="21"/>
                <w:highlight w:val="none"/>
                <w:lang w:eastAsia="zh-Hans"/>
              </w:rPr>
              <w:t>（</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Hans"/>
              </w:rPr>
              <w:t>22℃），</w:t>
            </w:r>
            <w:r>
              <w:rPr>
                <w:rFonts w:hint="eastAsia" w:ascii="宋体" w:hAnsi="宋体" w:eastAsia="宋体" w:cs="宋体"/>
                <w:b w:val="0"/>
                <w:bCs w:val="0"/>
                <w:color w:val="auto"/>
                <w:sz w:val="21"/>
                <w:szCs w:val="21"/>
                <w:highlight w:val="none"/>
                <w:lang w:val="en-US" w:eastAsia="zh-CN"/>
              </w:rPr>
              <w:t>新增</w:t>
            </w:r>
            <w:r>
              <w:rPr>
                <w:rFonts w:hint="eastAsia" w:ascii="宋体" w:hAnsi="宋体" w:eastAsia="宋体" w:cs="宋体"/>
                <w:b w:val="0"/>
                <w:bCs w:val="0"/>
                <w:color w:val="auto"/>
                <w:sz w:val="21"/>
                <w:szCs w:val="21"/>
                <w:highlight w:val="none"/>
                <w:lang w:eastAsia="zh-Hans"/>
              </w:rPr>
              <w:t>1</w:t>
            </w:r>
            <w:r>
              <w:rPr>
                <w:rFonts w:hint="eastAsia" w:ascii="宋体" w:hAnsi="宋体" w:eastAsia="宋体" w:cs="宋体"/>
                <w:b w:val="0"/>
                <w:bCs w:val="0"/>
                <w:color w:val="auto"/>
                <w:sz w:val="21"/>
                <w:szCs w:val="21"/>
                <w:highlight w:val="none"/>
                <w:lang w:val="en-US" w:eastAsia="zh-CN"/>
              </w:rPr>
              <w:t>个</w:t>
            </w:r>
            <w:r>
              <w:rPr>
                <w:rFonts w:hint="eastAsia" w:ascii="宋体" w:hAnsi="宋体" w:eastAsia="宋体" w:cs="宋体"/>
                <w:b w:val="0"/>
                <w:bCs w:val="0"/>
                <w:color w:val="auto"/>
                <w:sz w:val="21"/>
                <w:szCs w:val="21"/>
                <w:highlight w:val="none"/>
                <w:lang w:eastAsia="zh-Hans"/>
              </w:rPr>
              <w:t>库容5400</w:t>
            </w:r>
            <w:r>
              <w:rPr>
                <w:rFonts w:hint="eastAsia" w:ascii="宋体" w:hAnsi="宋体" w:eastAsia="宋体" w:cs="宋体"/>
                <w:b w:val="0"/>
                <w:bCs w:val="0"/>
                <w:color w:val="auto"/>
                <w:kern w:val="0"/>
                <w:sz w:val="21"/>
                <w:szCs w:val="21"/>
                <w:highlight w:val="none"/>
                <w:lang w:val="en-US" w:eastAsia="zh-CN"/>
              </w:rPr>
              <w:t>m³</w:t>
            </w:r>
            <w:r>
              <w:rPr>
                <w:rFonts w:hint="eastAsia" w:ascii="宋体" w:hAnsi="宋体" w:eastAsia="宋体" w:cs="宋体"/>
                <w:b w:val="0"/>
                <w:bCs w:val="0"/>
                <w:color w:val="auto"/>
                <w:sz w:val="21"/>
                <w:szCs w:val="21"/>
                <w:highlight w:val="none"/>
                <w:lang w:eastAsia="zh-Hans"/>
              </w:rPr>
              <w:t>（</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Hans"/>
              </w:rPr>
              <w:t>22℃）</w:t>
            </w:r>
            <w:r>
              <w:rPr>
                <w:rFonts w:hint="eastAsia" w:ascii="宋体" w:hAnsi="宋体" w:eastAsia="宋体" w:cs="宋体"/>
                <w:b w:val="0"/>
                <w:bCs w:val="0"/>
                <w:color w:val="auto"/>
                <w:sz w:val="21"/>
                <w:szCs w:val="21"/>
                <w:highlight w:val="none"/>
                <w:lang w:eastAsia="zh-CN"/>
              </w:rPr>
              <w:t>；购置</w:t>
            </w:r>
            <w:r>
              <w:rPr>
                <w:rFonts w:hint="eastAsia" w:ascii="宋体" w:hAnsi="宋体" w:eastAsia="宋体" w:cs="宋体"/>
                <w:b w:val="0"/>
                <w:bCs w:val="0"/>
                <w:color w:val="auto"/>
                <w:sz w:val="21"/>
                <w:szCs w:val="21"/>
                <w:highlight w:val="none"/>
              </w:rPr>
              <w:t>冷藏车</w:t>
            </w:r>
            <w:r>
              <w:rPr>
                <w:rFonts w:hint="eastAsia" w:ascii="宋体" w:hAnsi="宋体" w:eastAsia="宋体" w:cs="宋体"/>
                <w:b w:val="0"/>
                <w:bCs w:val="0"/>
                <w:color w:val="auto"/>
                <w:sz w:val="21"/>
                <w:szCs w:val="21"/>
                <w:highlight w:val="none"/>
                <w:lang w:eastAsia="zh-Hans"/>
              </w:rPr>
              <w:t>1</w:t>
            </w:r>
            <w:r>
              <w:rPr>
                <w:rFonts w:hint="eastAsia" w:ascii="宋体" w:hAnsi="宋体" w:eastAsia="宋体" w:cs="宋体"/>
                <w:b w:val="0"/>
                <w:bCs w:val="0"/>
                <w:color w:val="auto"/>
                <w:sz w:val="21"/>
                <w:szCs w:val="21"/>
                <w:highlight w:val="none"/>
                <w:lang w:val="en-US" w:eastAsia="zh-Hans"/>
              </w:rPr>
              <w:t>辆、低温冷库专用叉车4辆、低温冷库专用立体货架2000组等</w:t>
            </w:r>
            <w:r>
              <w:rPr>
                <w:rFonts w:hint="eastAsia" w:ascii="宋体" w:hAnsi="宋体" w:eastAsia="宋体" w:cs="宋体"/>
                <w:b w:val="0"/>
                <w:bCs w:val="0"/>
                <w:color w:val="auto"/>
                <w:sz w:val="21"/>
                <w:szCs w:val="21"/>
                <w:highlight w:val="none"/>
                <w:lang w:val="en-US" w:eastAsia="zh-CN"/>
              </w:rPr>
              <w:t>。</w:t>
            </w:r>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2023.4</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 xml:space="preserve"> 2023.12</w:t>
            </w:r>
          </w:p>
        </w:tc>
        <w:tc>
          <w:tcPr>
            <w:tcW w:w="217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冷库仓储、冷链运输</w:t>
            </w:r>
          </w:p>
        </w:tc>
      </w:tr>
    </w:tbl>
    <w:p>
      <w:pPr>
        <w:pStyle w:val="12"/>
        <w:pBdr>
          <w:top w:val="single" w:color="FFFFFF" w:sz="8" w:space="0"/>
          <w:left w:val="single" w:color="FFFFFF" w:sz="8" w:space="4"/>
          <w:bottom w:val="single" w:color="FFFFFF" w:sz="8" w:space="30"/>
          <w:right w:val="single" w:color="FFFFFF" w:sz="8" w:space="9"/>
        </w:pBdr>
        <w:shd w:val="clear"/>
        <w:snapToGrid w:val="0"/>
        <w:spacing w:line="560" w:lineRule="exact"/>
        <w:rPr>
          <w:rFonts w:ascii="Nimbus Roman No9 L" w:hAnsi="Nimbus Roman No9 L" w:eastAsia="宋体" w:cs="Nimbus Roman No9 L"/>
          <w:b w:val="0"/>
          <w:bCs w:val="0"/>
          <w:color w:val="auto"/>
          <w:sz w:val="21"/>
          <w:szCs w:val="21"/>
        </w:rPr>
        <w:sectPr>
          <w:footerReference r:id="rId4" w:type="default"/>
          <w:pgSz w:w="16838" w:h="11906" w:orient="landscape"/>
          <w:pgMar w:top="2154" w:right="1474" w:bottom="1157"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Nimbus Roman No9 L" w:hAnsi="Nimbus Roman No9 L" w:eastAsia="宋体" w:cs="Nimbus Roman No9 L"/>
          <w:b w:val="0"/>
          <w:bCs w:val="0"/>
          <w:color w:val="auto"/>
          <w:sz w:val="21"/>
          <w:szCs w:val="21"/>
        </w:rPr>
        <w:t>备注：财政资金支持方向：一、增强农产品批发市场冷链流通能力；二、提高冷链物流重点干支线配送效率；三、完善农产品零售终端冷链环境；四、统筹支持农产品市场保</w:t>
      </w:r>
      <w:r>
        <w:rPr>
          <w:rFonts w:hint="eastAsia" w:ascii="Nimbus Roman No9 L" w:hAnsi="Nimbus Roman No9 L" w:eastAsia="宋体" w:cs="Nimbus Roman No9 L"/>
          <w:b w:val="0"/>
          <w:bCs w:val="0"/>
          <w:color w:val="auto"/>
          <w:sz w:val="21"/>
          <w:szCs w:val="21"/>
          <w:lang w:val="en-US" w:eastAsia="zh-CN"/>
        </w:rPr>
        <w:t>供。</w:t>
      </w:r>
    </w:p>
    <w:p>
      <w:pPr>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附</w:t>
      </w:r>
      <w:r>
        <w:rPr>
          <w:rFonts w:hint="eastAsia" w:ascii="黑体" w:hAnsi="黑体" w:eastAsia="黑体" w:cs="黑体"/>
          <w:b w:val="0"/>
          <w:bCs w:val="0"/>
          <w:color w:val="auto"/>
          <w:sz w:val="32"/>
          <w:szCs w:val="32"/>
        </w:rPr>
        <w:t>件</w:t>
      </w:r>
      <w:r>
        <w:rPr>
          <w:rFonts w:hint="eastAsia" w:ascii="黑体" w:hAnsi="黑体" w:eastAsia="黑体" w:cs="黑体"/>
          <w:b w:val="0"/>
          <w:bCs w:val="0"/>
          <w:color w:val="auto"/>
          <w:sz w:val="32"/>
          <w:szCs w:val="32"/>
          <w:lang w:val="en-US" w:eastAsia="zh-CN"/>
        </w:rPr>
        <w:t>4</w:t>
      </w:r>
    </w:p>
    <w:tbl>
      <w:tblPr>
        <w:tblStyle w:val="8"/>
        <w:tblW w:w="87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4"/>
        <w:gridCol w:w="3383"/>
        <w:gridCol w:w="1056"/>
        <w:gridCol w:w="1055"/>
        <w:gridCol w:w="1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trPr>
        <w:tc>
          <w:tcPr>
            <w:tcW w:w="872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40"/>
                <w:szCs w:val="40"/>
                <w:u w:val="none"/>
              </w:rPr>
            </w:pPr>
            <w:r>
              <w:rPr>
                <w:rFonts w:hint="eastAsia" w:ascii="方正小标宋简体" w:hAnsi="方正小标宋简体" w:eastAsia="方正小标宋简体" w:cs="方正小标宋简体"/>
                <w:b w:val="0"/>
                <w:bCs w:val="0"/>
                <w:i w:val="0"/>
                <w:iCs w:val="0"/>
                <w:color w:val="auto"/>
                <w:kern w:val="0"/>
                <w:sz w:val="40"/>
                <w:szCs w:val="40"/>
                <w:u w:val="none"/>
                <w:lang w:val="en-US" w:eastAsia="zh-CN" w:bidi="ar"/>
              </w:rPr>
              <w:t xml:space="preserve"> 黑龙江（伊春）中药材物流基地冷链体系建设项目冷链设备明细表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冷藏库：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项目规格：42m*891m*7.5m</w:t>
            </w: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库房温度：+5℃</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5℃</w:t>
            </w: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1885" w:type="dxa"/>
            <w:tcBorders>
              <w:top w:val="nil"/>
              <w:left w:val="nil"/>
              <w:bottom w:val="nil"/>
              <w:right w:val="nil"/>
            </w:tcBorders>
            <w:shd w:val="clear" w:color="auto" w:fill="auto"/>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0" w:type="auto"/>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  目  与  规  格</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单位</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数量</w:t>
            </w:r>
          </w:p>
        </w:tc>
        <w:tc>
          <w:tcPr>
            <w:tcW w:w="0" w:type="auto"/>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制冷设备及系统：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风冷冷凝机组50p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比泽尔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蒸发器DD2300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辽宁一冷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膨胀阀f9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上恒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上恒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铜管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R22制冷剂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东越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制冷管道及保温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电器设备及系统：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高配电控箱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温度控制器总电控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PLC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其他（氧气，氮气，焊条等）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冷库排水含加热线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恒温库：</w:t>
            </w: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项目规格：42m*891m*7.5m</w:t>
            </w: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库房温度：+5℃</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10℃</w:t>
            </w: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1885" w:type="dxa"/>
            <w:tcBorders>
              <w:top w:val="nil"/>
              <w:left w:val="nil"/>
              <w:bottom w:val="nil"/>
              <w:right w:val="nil"/>
            </w:tcBorders>
            <w:shd w:val="clear" w:color="auto" w:fill="auto"/>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制冷设备及系统小计：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风冷冷凝机组50p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比泽尔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蒸发器DD2300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辽宁一冷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膨胀阀f9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上恒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上恒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铜管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R22制冷剂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东越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制冷管道及保温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电器设备及系统小计：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高配电控箱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温度控制器总电控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PLC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其他（氧气，氮气，焊条等）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冷库排水含加热线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冷库：</w:t>
            </w: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项目规格：100m*20m*7.5m分4间</w:t>
            </w: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库房温度：</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18℃</w:t>
            </w: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1885" w:type="dxa"/>
            <w:tcBorders>
              <w:top w:val="nil"/>
              <w:left w:val="nil"/>
              <w:bottom w:val="nil"/>
              <w:right w:val="nil"/>
            </w:tcBorders>
            <w:shd w:val="clear" w:color="auto" w:fill="auto"/>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0" w:type="auto"/>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  目  与  规  格</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单位</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数量</w:t>
            </w:r>
          </w:p>
        </w:tc>
        <w:tc>
          <w:tcPr>
            <w:tcW w:w="0" w:type="auto"/>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制冷设备及系统小计：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螺杆并联机组100p*3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富士豪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蒸发冷1200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辽宁一冷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铝排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4400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膨胀阀f1.5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上恒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上恒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铜管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酸洗磷化管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化霜三通阀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化霜单向阀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化霜钢阀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化霜电磁阀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R22制冷剂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东越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冷冻油k100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制冷管道及保温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电器设备及系统小计：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高配电控箱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温度控制器总电控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PLC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其他（氧气，氮气，焊条等）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电缆桥架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共用部分:</w:t>
            </w: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  目  与  规  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保温库板B1阻燃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厚100mm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保温库板B2阻燃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厚150mm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地面挤朔板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厚100mm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库班安装费含掉件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11239㎡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钢结构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auto"/>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auto"/>
                <w:sz w:val="24"/>
                <w:szCs w:val="24"/>
                <w:u w:val="none"/>
              </w:rPr>
            </w:pPr>
          </w:p>
        </w:tc>
      </w:tr>
    </w:tbl>
    <w:p>
      <w:pPr>
        <w:pStyle w:val="2"/>
        <w:ind w:left="0" w:leftChars="0" w:firstLine="0" w:firstLineChars="0"/>
        <w:rPr>
          <w:rFonts w:hint="eastAsia"/>
          <w:b w:val="0"/>
          <w:bCs w:val="0"/>
          <w:color w:val="auto"/>
          <w:lang w:val="en-US" w:eastAsia="zh-CN"/>
        </w:rPr>
      </w:pPr>
    </w:p>
    <w:tbl>
      <w:tblPr>
        <w:tblStyle w:val="8"/>
        <w:tblW w:w="87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3"/>
        <w:gridCol w:w="3871"/>
        <w:gridCol w:w="806"/>
        <w:gridCol w:w="806"/>
        <w:gridCol w:w="1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872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40"/>
                <w:szCs w:val="40"/>
                <w:u w:val="none"/>
              </w:rPr>
            </w:pPr>
            <w:r>
              <w:rPr>
                <w:rFonts w:hint="eastAsia" w:ascii="宋体" w:hAnsi="宋体" w:eastAsia="宋体" w:cs="宋体"/>
                <w:b w:val="0"/>
                <w:bCs w:val="0"/>
                <w:i w:val="0"/>
                <w:iCs w:val="0"/>
                <w:color w:val="auto"/>
                <w:kern w:val="0"/>
                <w:sz w:val="40"/>
                <w:szCs w:val="40"/>
                <w:u w:val="none"/>
                <w:lang w:val="en-US" w:eastAsia="zh-CN" w:bidi="ar"/>
              </w:rPr>
              <w:t>汤旺县松蓝农产品商贸冷链基地冷链设备明细表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720"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冷库：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40"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项目规格：18m*60m*6m</w:t>
            </w:r>
          </w:p>
        </w:tc>
        <w:tc>
          <w:tcPr>
            <w:tcW w:w="806"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1874"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34"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 xml:space="preserve">库房温度： </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22℃</w:t>
            </w:r>
          </w:p>
        </w:tc>
        <w:tc>
          <w:tcPr>
            <w:tcW w:w="806"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806"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1874" w:type="dxa"/>
            <w:tcBorders>
              <w:top w:val="nil"/>
              <w:left w:val="nil"/>
              <w:bottom w:val="nil"/>
              <w:right w:val="nil"/>
            </w:tcBorders>
            <w:shd w:val="clear" w:color="auto" w:fill="auto"/>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6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序号</w:t>
            </w:r>
          </w:p>
        </w:tc>
        <w:tc>
          <w:tcPr>
            <w:tcW w:w="38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  目  与  规  格</w:t>
            </w:r>
          </w:p>
        </w:tc>
        <w:tc>
          <w:tcPr>
            <w:tcW w:w="80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单位</w:t>
            </w:r>
          </w:p>
        </w:tc>
        <w:tc>
          <w:tcPr>
            <w:tcW w:w="80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数量</w:t>
            </w:r>
          </w:p>
        </w:tc>
        <w:tc>
          <w:tcPr>
            <w:tcW w:w="1874"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制冷设备及系统：</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莱富康60ph</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组</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莱富康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蒸发器AC220V</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HONGSEN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膨胀阀</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60</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丹弗斯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电磁阀</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187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陈亮亮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铜管</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w:t>
            </w:r>
          </w:p>
        </w:tc>
        <w:tc>
          <w:tcPr>
            <w:tcW w:w="187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制冷剂</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瓶</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120</w:t>
            </w:r>
          </w:p>
        </w:tc>
        <w:tc>
          <w:tcPr>
            <w:tcW w:w="187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山东东岳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制冷管道及保温</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187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风冷冷凝器FNH</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87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轩致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电气设备及系统：</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高配电控箱</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温度控制器总电控</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plc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其它（氧气、氮气、焊条等）</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冷库排水含加热线</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电缆线</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金桥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36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冷库：</w:t>
            </w:r>
          </w:p>
        </w:tc>
        <w:tc>
          <w:tcPr>
            <w:tcW w:w="3871"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806"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806"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1874"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040"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项目规格：15m*64.6m*6m</w:t>
            </w:r>
          </w:p>
        </w:tc>
        <w:tc>
          <w:tcPr>
            <w:tcW w:w="806"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1874"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5234"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库房温度：</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22℃</w:t>
            </w:r>
          </w:p>
        </w:tc>
        <w:tc>
          <w:tcPr>
            <w:tcW w:w="806"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806"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1874" w:type="dxa"/>
            <w:tcBorders>
              <w:top w:val="nil"/>
              <w:left w:val="nil"/>
              <w:bottom w:val="nil"/>
              <w:right w:val="nil"/>
            </w:tcBorders>
            <w:shd w:val="clear" w:color="auto" w:fill="auto"/>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36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序号</w:t>
            </w:r>
          </w:p>
        </w:tc>
        <w:tc>
          <w:tcPr>
            <w:tcW w:w="38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  目  与  规  格</w:t>
            </w:r>
          </w:p>
        </w:tc>
        <w:tc>
          <w:tcPr>
            <w:tcW w:w="80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单位</w:t>
            </w:r>
          </w:p>
        </w:tc>
        <w:tc>
          <w:tcPr>
            <w:tcW w:w="80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数量</w:t>
            </w:r>
          </w:p>
        </w:tc>
        <w:tc>
          <w:tcPr>
            <w:tcW w:w="1874"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制冷设备及系统：</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3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莱富康60ph</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组</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莱富康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3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蒸发器</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轩致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3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膨胀阀</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60</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丹弗斯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3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电磁阀</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陈亮亮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3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铜管</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3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制冷剂</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瓶</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120</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山东东岳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3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制冷管道及保温</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187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36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风冷冷凝器FNH</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187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轩致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电气设备及系统：</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187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高配电控箱</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温度控制器总电控</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plc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其它（氧气、氮气、焊条等）</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冷库排水含加热线</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电缆线</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187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金桥</w:t>
            </w:r>
          </w:p>
        </w:tc>
      </w:tr>
    </w:tbl>
    <w:p>
      <w:pPr>
        <w:pStyle w:val="2"/>
        <w:ind w:left="0" w:leftChars="0" w:firstLine="0" w:firstLineChars="0"/>
        <w:rPr>
          <w:rFonts w:hint="eastAsia"/>
          <w:b w:val="0"/>
          <w:bCs w:val="0"/>
          <w:color w:val="auto"/>
          <w:lang w:val="en-US" w:eastAsia="zh-CN"/>
        </w:rPr>
      </w:pPr>
    </w:p>
    <w:tbl>
      <w:tblPr>
        <w:tblStyle w:val="8"/>
        <w:tblW w:w="87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2"/>
        <w:gridCol w:w="3628"/>
        <w:gridCol w:w="1282"/>
        <w:gridCol w:w="1282"/>
        <w:gridCol w:w="1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28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冷库：</w:t>
            </w:r>
          </w:p>
        </w:tc>
        <w:tc>
          <w:tcPr>
            <w:tcW w:w="3628"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1282"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1282"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1282"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项目规格：13m*74.5m*6m</w:t>
            </w: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库房温度：</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22℃</w:t>
            </w: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auto"/>
                <w:sz w:val="24"/>
                <w:szCs w:val="24"/>
                <w:u w:val="none"/>
              </w:rPr>
            </w:pPr>
          </w:p>
        </w:tc>
        <w:tc>
          <w:tcPr>
            <w:tcW w:w="1282" w:type="dxa"/>
            <w:tcBorders>
              <w:top w:val="nil"/>
              <w:left w:val="nil"/>
              <w:bottom w:val="nil"/>
              <w:right w:val="nil"/>
            </w:tcBorders>
            <w:shd w:val="clear" w:color="auto" w:fill="auto"/>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  目  与  规  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制冷设备及系统：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莱富康60ph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莱富康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蒸发器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轩致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膨胀阀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丹弗斯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陈亮亮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铜管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制冷剂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山东东岳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制冷管道及保温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风冷冷凝器FNH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轩致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电气设备及系统：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高配电控箱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温度控制器总电控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plc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其它（氧气、氮气、焊条等）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冷库排水含加热线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金桥</w:t>
            </w:r>
          </w:p>
        </w:tc>
      </w:tr>
    </w:tbl>
    <w:p>
      <w:pPr>
        <w:pStyle w:val="2"/>
        <w:ind w:left="0" w:leftChars="0" w:firstLine="0" w:firstLineChars="0"/>
        <w:rPr>
          <w:rFonts w:hint="eastAsia" w:ascii="黑体" w:hAnsi="黑体" w:eastAsia="黑体" w:cs="黑体"/>
          <w:b w:val="0"/>
          <w:bCs w:val="0"/>
          <w:color w:val="auto"/>
          <w:sz w:val="32"/>
          <w:szCs w:val="32"/>
          <w:lang w:val="en-US" w:eastAsia="zh-CN"/>
        </w:rPr>
      </w:pPr>
    </w:p>
    <w:p>
      <w:pPr>
        <w:pStyle w:val="2"/>
        <w:ind w:left="0" w:leftChars="0" w:firstLine="0" w:firstLineChars="0"/>
        <w:rPr>
          <w:rFonts w:hint="eastAsia" w:ascii="黑体" w:hAnsi="黑体" w:eastAsia="黑体" w:cs="黑体"/>
          <w:b w:val="0"/>
          <w:bCs w:val="0"/>
          <w:color w:val="auto"/>
          <w:sz w:val="32"/>
          <w:szCs w:val="32"/>
          <w:lang w:val="en-US" w:eastAsia="zh-CN"/>
        </w:rPr>
      </w:pPr>
    </w:p>
    <w:p>
      <w:pPr>
        <w:pStyle w:val="2"/>
        <w:ind w:left="0" w:leftChars="0" w:firstLine="0" w:firstLineChars="0"/>
        <w:rPr>
          <w:rFonts w:hint="eastAsia" w:ascii="黑体" w:hAnsi="黑体" w:eastAsia="黑体" w:cs="黑体"/>
          <w:b w:val="0"/>
          <w:bCs w:val="0"/>
          <w:color w:val="auto"/>
          <w:sz w:val="32"/>
          <w:szCs w:val="32"/>
          <w:lang w:val="en-US" w:eastAsia="zh-CN"/>
        </w:rPr>
      </w:pPr>
    </w:p>
    <w:p>
      <w:pPr>
        <w:pStyle w:val="2"/>
        <w:ind w:left="0" w:leftChars="0" w:firstLine="0" w:firstLineChars="0"/>
        <w:rPr>
          <w:rFonts w:hint="eastAsia" w:ascii="黑体" w:hAnsi="黑体" w:eastAsia="黑体" w:cs="黑体"/>
          <w:b w:val="0"/>
          <w:bCs w:val="0"/>
          <w:color w:val="auto"/>
          <w:sz w:val="32"/>
          <w:szCs w:val="32"/>
          <w:lang w:val="en-US" w:eastAsia="zh-CN"/>
        </w:rPr>
      </w:pPr>
    </w:p>
    <w:p>
      <w:pPr>
        <w:pStyle w:val="2"/>
        <w:ind w:left="0" w:leftChars="0" w:firstLine="0" w:firstLineChars="0"/>
        <w:rPr>
          <w:rFonts w:hint="eastAsia" w:ascii="黑体" w:hAnsi="黑体" w:eastAsia="黑体" w:cs="黑体"/>
          <w:b w:val="0"/>
          <w:bCs w:val="0"/>
          <w:color w:val="auto"/>
          <w:sz w:val="32"/>
          <w:szCs w:val="32"/>
          <w:lang w:val="en-US" w:eastAsia="zh-CN"/>
        </w:rPr>
      </w:pPr>
    </w:p>
    <w:p>
      <w:pPr>
        <w:pStyle w:val="2"/>
        <w:ind w:left="0" w:leftChars="0" w:firstLine="0" w:firstLineChars="0"/>
        <w:rPr>
          <w:rFonts w:hint="eastAsia" w:ascii="黑体" w:hAnsi="黑体" w:eastAsia="黑体" w:cs="黑体"/>
          <w:b w:val="0"/>
          <w:bCs w:val="0"/>
          <w:color w:val="auto"/>
          <w:sz w:val="32"/>
          <w:szCs w:val="32"/>
          <w:lang w:val="en-US" w:eastAsia="zh-CN"/>
        </w:rPr>
      </w:pPr>
    </w:p>
    <w:p>
      <w:pPr>
        <w:pStyle w:val="2"/>
        <w:ind w:left="0" w:leftChars="0" w:firstLine="0" w:firstLineChars="0"/>
        <w:rPr>
          <w:rFonts w:hint="eastAsia" w:ascii="黑体" w:hAnsi="黑体" w:eastAsia="黑体" w:cs="黑体"/>
          <w:b w:val="0"/>
          <w:bCs w:val="0"/>
          <w:color w:val="auto"/>
          <w:sz w:val="32"/>
          <w:szCs w:val="32"/>
          <w:lang w:val="en-US" w:eastAsia="zh-CN"/>
        </w:rPr>
      </w:pPr>
    </w:p>
    <w:p>
      <w:pPr>
        <w:pStyle w:val="2"/>
        <w:ind w:left="0" w:leftChars="0" w:firstLine="0" w:firstLineChars="0"/>
        <w:rPr>
          <w:rFonts w:hint="eastAsia" w:ascii="黑体" w:hAnsi="黑体" w:eastAsia="黑体" w:cs="黑体"/>
          <w:b w:val="0"/>
          <w:bCs w:val="0"/>
          <w:color w:val="auto"/>
          <w:sz w:val="32"/>
          <w:szCs w:val="32"/>
          <w:lang w:val="en-US" w:eastAsia="zh-CN"/>
        </w:rPr>
      </w:pPr>
    </w:p>
    <w:p>
      <w:pPr>
        <w:pStyle w:val="2"/>
        <w:ind w:left="0" w:leftChars="0" w:firstLine="0" w:firstLineChars="0"/>
        <w:rPr>
          <w:rFonts w:hint="eastAsia" w:ascii="黑体" w:hAnsi="黑体" w:eastAsia="黑体" w:cs="黑体"/>
          <w:b w:val="0"/>
          <w:bCs w:val="0"/>
          <w:color w:val="auto"/>
          <w:sz w:val="32"/>
          <w:szCs w:val="32"/>
          <w:lang w:val="en-US" w:eastAsia="zh-CN"/>
        </w:rPr>
      </w:pPr>
    </w:p>
    <w:p>
      <w:pPr>
        <w:pStyle w:val="2"/>
        <w:ind w:left="0" w:leftChars="0" w:firstLine="0" w:firstLineChars="0"/>
        <w:rPr>
          <w:rFonts w:hint="eastAsia" w:ascii="黑体" w:hAnsi="黑体" w:eastAsia="黑体" w:cs="黑体"/>
          <w:b w:val="0"/>
          <w:bCs w:val="0"/>
          <w:color w:val="auto"/>
          <w:sz w:val="32"/>
          <w:szCs w:val="32"/>
          <w:lang w:val="en-US" w:eastAsia="zh-CN"/>
        </w:rPr>
      </w:pPr>
    </w:p>
    <w:p>
      <w:pPr>
        <w:pStyle w:val="2"/>
        <w:ind w:left="0" w:leftChars="0" w:firstLine="0" w:firstLineChars="0"/>
        <w:rPr>
          <w:rFonts w:hint="eastAsia" w:ascii="黑体" w:hAnsi="黑体" w:eastAsia="黑体" w:cs="黑体"/>
          <w:b w:val="0"/>
          <w:bCs w:val="0"/>
          <w:color w:val="auto"/>
          <w:sz w:val="32"/>
          <w:szCs w:val="32"/>
          <w:lang w:val="en-US" w:eastAsia="zh-CN"/>
        </w:rPr>
      </w:pPr>
    </w:p>
    <w:p>
      <w:pPr>
        <w:pStyle w:val="2"/>
        <w:ind w:left="0" w:leftChars="0" w:firstLine="0" w:firstLineChars="0"/>
        <w:rPr>
          <w:rFonts w:hint="eastAsia" w:ascii="黑体" w:hAnsi="黑体" w:eastAsia="黑体" w:cs="黑体"/>
          <w:b w:val="0"/>
          <w:bCs w:val="0"/>
          <w:color w:val="auto"/>
          <w:sz w:val="32"/>
          <w:szCs w:val="32"/>
          <w:lang w:val="en-US" w:eastAsia="zh-CN"/>
        </w:rPr>
      </w:pPr>
    </w:p>
    <w:p>
      <w:pPr>
        <w:pStyle w:val="2"/>
        <w:ind w:left="0" w:leftChars="0" w:firstLine="0" w:firstLineChars="0"/>
        <w:rPr>
          <w:rFonts w:hint="eastAsia" w:ascii="黑体" w:hAnsi="黑体" w:eastAsia="黑体" w:cs="黑体"/>
          <w:b w:val="0"/>
          <w:bCs w:val="0"/>
          <w:color w:val="auto"/>
          <w:sz w:val="32"/>
          <w:szCs w:val="32"/>
          <w:lang w:val="en-US" w:eastAsia="zh-CN"/>
        </w:rPr>
      </w:pPr>
    </w:p>
    <w:p>
      <w:pPr>
        <w:pStyle w:val="2"/>
        <w:ind w:left="0" w:leftChars="0" w:firstLine="0" w:firstLineChars="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伊春市农产品供应链体系建设工作协调机制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为切实做好全</w:t>
      </w:r>
      <w:r>
        <w:rPr>
          <w:rFonts w:hint="eastAsia" w:ascii="仿宋_GB2312" w:hAnsi="仿宋_GB2312" w:eastAsia="仿宋_GB2312" w:cs="仿宋_GB2312"/>
          <w:b w:val="0"/>
          <w:bCs w:val="0"/>
          <w:color w:val="auto"/>
          <w:sz w:val="32"/>
          <w:szCs w:val="32"/>
          <w:lang w:eastAsia="zh-CN"/>
        </w:rPr>
        <w:t>市</w:t>
      </w:r>
      <w:r>
        <w:rPr>
          <w:rFonts w:hint="eastAsia" w:ascii="仿宋_GB2312" w:hAnsi="仿宋_GB2312" w:eastAsia="仿宋_GB2312" w:cs="仿宋_GB2312"/>
          <w:b w:val="0"/>
          <w:bCs w:val="0"/>
          <w:color w:val="auto"/>
          <w:sz w:val="32"/>
          <w:szCs w:val="32"/>
        </w:rPr>
        <w:t>农产品供应链体系建设工作，根据《财政部办公厅商务部办公厅关于支持加快农产品供应链体系建设的通知进一步促进冷链物流发展的通知》(财办建〔2022〕36号)有关要求</w:t>
      </w:r>
      <w:r>
        <w:rPr>
          <w:rFonts w:hint="eastAsia" w:ascii="仿宋_GB2312" w:hAnsi="仿宋_GB2312" w:eastAsia="仿宋_GB2312" w:cs="仿宋_GB2312"/>
          <w:b w:val="0"/>
          <w:bCs w:val="0"/>
          <w:color w:val="auto"/>
          <w:sz w:val="32"/>
          <w:szCs w:val="32"/>
          <w:lang w:eastAsia="zh-CN"/>
        </w:rPr>
        <w:t>及</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伊春市2023年农产品供应链体系建设工作实施方案</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要求</w:t>
      </w:r>
      <w:r>
        <w:rPr>
          <w:rFonts w:hint="eastAsia" w:ascii="仿宋_GB2312" w:hAnsi="仿宋_GB2312" w:eastAsia="仿宋_GB2312" w:cs="仿宋_GB2312"/>
          <w:b w:val="0"/>
          <w:bCs w:val="0"/>
          <w:color w:val="auto"/>
          <w:sz w:val="32"/>
          <w:szCs w:val="32"/>
        </w:rPr>
        <w:t>，建立</w:t>
      </w:r>
      <w:r>
        <w:rPr>
          <w:rFonts w:hint="eastAsia" w:ascii="仿宋_GB2312" w:hAnsi="仿宋_GB2312" w:eastAsia="仿宋_GB2312" w:cs="仿宋_GB2312"/>
          <w:b w:val="0"/>
          <w:bCs w:val="0"/>
          <w:color w:val="auto"/>
          <w:sz w:val="32"/>
          <w:szCs w:val="32"/>
          <w:lang w:eastAsia="zh-CN"/>
        </w:rPr>
        <w:t>伊春市</w:t>
      </w:r>
      <w:r>
        <w:rPr>
          <w:rFonts w:hint="eastAsia" w:ascii="仿宋_GB2312" w:hAnsi="仿宋_GB2312" w:eastAsia="仿宋_GB2312" w:cs="仿宋_GB2312"/>
          <w:b w:val="0"/>
          <w:bCs w:val="0"/>
          <w:color w:val="auto"/>
          <w:sz w:val="32"/>
          <w:szCs w:val="32"/>
        </w:rPr>
        <w:t>农产品供应链体系建设工作协调机制。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一、主要职能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贯彻落实国家和省关于农产品供应链体系建设工作的部署要求，建立健全畅通高效、贯通城乡、安全规范的农产品流通体系，推动农产品冷链物流高质量发展;</w:t>
      </w:r>
      <w:r>
        <w:rPr>
          <w:rFonts w:hint="eastAsia" w:ascii="仿宋_GB2312" w:hAnsi="仿宋_GB2312" w:eastAsia="仿宋_GB2312" w:cs="仿宋_GB2312"/>
          <w:b w:val="0"/>
          <w:bCs w:val="0"/>
          <w:color w:val="auto"/>
          <w:sz w:val="32"/>
          <w:szCs w:val="32"/>
          <w:lang w:eastAsia="zh-CN"/>
        </w:rPr>
        <w:t>督促完成</w:t>
      </w:r>
      <w:r>
        <w:rPr>
          <w:rFonts w:hint="eastAsia" w:ascii="仿宋_GB2312" w:hAnsi="仿宋_GB2312" w:eastAsia="仿宋_GB2312" w:cs="仿宋_GB2312"/>
          <w:b w:val="0"/>
          <w:bCs w:val="0"/>
          <w:color w:val="auto"/>
          <w:sz w:val="32"/>
          <w:szCs w:val="32"/>
        </w:rPr>
        <w:t>《伊春市2023年农产品供应链体系建设工作实施方案》</w:t>
      </w:r>
      <w:r>
        <w:rPr>
          <w:rFonts w:hint="eastAsia" w:ascii="仿宋_GB2312" w:hAnsi="仿宋_GB2312" w:eastAsia="仿宋_GB2312" w:cs="仿宋_GB2312"/>
          <w:b w:val="0"/>
          <w:bCs w:val="0"/>
          <w:color w:val="auto"/>
          <w:sz w:val="32"/>
          <w:szCs w:val="32"/>
          <w:lang w:eastAsia="zh-CN"/>
        </w:rPr>
        <w:t>项目建设</w:t>
      </w:r>
      <w:r>
        <w:rPr>
          <w:rFonts w:hint="eastAsia" w:ascii="仿宋_GB2312" w:hAnsi="仿宋_GB2312" w:eastAsia="仿宋_GB2312" w:cs="仿宋_GB2312"/>
          <w:b w:val="0"/>
          <w:bCs w:val="0"/>
          <w:color w:val="auto"/>
          <w:sz w:val="32"/>
          <w:szCs w:val="32"/>
        </w:rPr>
        <w:t>;协调解决农产品供应链体系建设中遇到的重大问题。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二、组织机构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rPr>
        <w:t>机制组成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协调总召集人:</w:t>
      </w:r>
      <w:r>
        <w:rPr>
          <w:rFonts w:hint="eastAsia" w:ascii="仿宋_GB2312" w:hAnsi="仿宋_GB2312" w:eastAsia="仿宋_GB2312" w:cs="仿宋_GB2312"/>
          <w:b w:val="0"/>
          <w:bCs w:val="0"/>
          <w:color w:val="auto"/>
          <w:sz w:val="32"/>
          <w:szCs w:val="32"/>
          <w:lang w:eastAsia="zh-CN"/>
        </w:rPr>
        <w:t>方春彪</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lang w:eastAsia="zh-CN"/>
        </w:rPr>
        <w:t>市政府副市长</w:t>
      </w:r>
      <w:r>
        <w:rPr>
          <w:rFonts w:hint="eastAsia" w:ascii="仿宋_GB2312" w:hAnsi="仿宋_GB2312" w:eastAsia="仿宋_GB2312" w:cs="仿宋_GB2312"/>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召集人:</w:t>
      </w:r>
      <w:r>
        <w:rPr>
          <w:rFonts w:hint="eastAsia" w:ascii="仿宋_GB2312" w:hAnsi="仿宋_GB2312" w:eastAsia="仿宋_GB2312" w:cs="仿宋_GB2312"/>
          <w:b w:val="0"/>
          <w:bCs w:val="0"/>
          <w:color w:val="auto"/>
          <w:sz w:val="32"/>
          <w:szCs w:val="32"/>
          <w:lang w:eastAsia="zh-CN"/>
        </w:rPr>
        <w:t>李可明</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lang w:eastAsia="zh-CN"/>
        </w:rPr>
        <w:t>市</w:t>
      </w:r>
      <w:r>
        <w:rPr>
          <w:rFonts w:hint="eastAsia" w:ascii="仿宋_GB2312" w:hAnsi="仿宋_GB2312" w:eastAsia="仿宋_GB2312" w:cs="仿宋_GB2312"/>
          <w:b w:val="0"/>
          <w:bCs w:val="0"/>
          <w:color w:val="auto"/>
          <w:sz w:val="32"/>
          <w:szCs w:val="32"/>
        </w:rPr>
        <w:t>商务</w:t>
      </w:r>
      <w:r>
        <w:rPr>
          <w:rFonts w:hint="eastAsia" w:ascii="仿宋_GB2312" w:hAnsi="仿宋_GB2312" w:eastAsia="仿宋_GB2312" w:cs="仿宋_GB2312"/>
          <w:b w:val="0"/>
          <w:bCs w:val="0"/>
          <w:color w:val="auto"/>
          <w:sz w:val="32"/>
          <w:szCs w:val="32"/>
          <w:lang w:eastAsia="zh-CN"/>
        </w:rPr>
        <w:t>局局长</w:t>
      </w:r>
      <w:r>
        <w:rPr>
          <w:rFonts w:hint="eastAsia" w:ascii="仿宋_GB2312" w:hAnsi="仿宋_GB2312" w:eastAsia="仿宋_GB2312" w:cs="仿宋_GB2312"/>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召集人:</w:t>
      </w:r>
      <w:r>
        <w:rPr>
          <w:rFonts w:hint="eastAsia" w:ascii="仿宋_GB2312" w:hAnsi="仿宋_GB2312" w:eastAsia="仿宋_GB2312" w:cs="仿宋_GB2312"/>
          <w:b w:val="0"/>
          <w:bCs w:val="0"/>
          <w:color w:val="auto"/>
          <w:sz w:val="32"/>
          <w:szCs w:val="32"/>
          <w:lang w:eastAsia="zh-CN"/>
        </w:rPr>
        <w:t>纪永梅</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lang w:eastAsia="zh-CN"/>
        </w:rPr>
        <w:t>市财政局三级调研员</w:t>
      </w:r>
      <w:r>
        <w:rPr>
          <w:rFonts w:hint="eastAsia" w:ascii="仿宋_GB2312" w:hAnsi="仿宋_GB2312" w:eastAsia="仿宋_GB2312" w:cs="仿宋_GB2312"/>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b w:val="0"/>
          <w:bCs w:val="0"/>
          <w:color w:val="auto"/>
        </w:rPr>
      </w:pPr>
      <w:r>
        <w:rPr>
          <w:rFonts w:hint="eastAsia" w:ascii="仿宋_GB2312" w:hAnsi="仿宋_GB2312" w:eastAsia="仿宋_GB2312" w:cs="仿宋_GB2312"/>
          <w:b w:val="0"/>
          <w:bCs w:val="0"/>
          <w:color w:val="auto"/>
          <w:sz w:val="32"/>
          <w:szCs w:val="32"/>
        </w:rPr>
        <w:t>协调机制成员单位:</w:t>
      </w:r>
      <w:r>
        <w:rPr>
          <w:rFonts w:hint="eastAsia" w:ascii="仿宋_GB2312" w:hAnsi="仿宋_GB2312" w:eastAsia="仿宋_GB2312" w:cs="仿宋_GB2312"/>
          <w:b w:val="0"/>
          <w:bCs w:val="0"/>
          <w:color w:val="auto"/>
          <w:sz w:val="32"/>
          <w:szCs w:val="32"/>
          <w:lang w:eastAsia="zh-CN"/>
        </w:rPr>
        <w:t>市商务局</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市财政局</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铁力市、嘉荫县、汤旺县</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伊美区、乌翠区人民政府</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协调机制办公室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农产品供应链体系建设工作协调机制下设办公室。办公室设在</w:t>
      </w:r>
      <w:r>
        <w:rPr>
          <w:rFonts w:hint="eastAsia" w:ascii="仿宋_GB2312" w:hAnsi="仿宋_GB2312" w:eastAsia="仿宋_GB2312" w:cs="仿宋_GB2312"/>
          <w:b w:val="0"/>
          <w:bCs w:val="0"/>
          <w:color w:val="auto"/>
          <w:sz w:val="32"/>
          <w:szCs w:val="32"/>
          <w:lang w:eastAsia="zh-CN"/>
        </w:rPr>
        <w:t>市商务局</w:t>
      </w:r>
      <w:r>
        <w:rPr>
          <w:rFonts w:hint="eastAsia" w:ascii="仿宋_GB2312" w:hAnsi="仿宋_GB2312" w:eastAsia="仿宋_GB2312" w:cs="仿宋_GB2312"/>
          <w:b w:val="0"/>
          <w:bCs w:val="0"/>
          <w:color w:val="auto"/>
          <w:sz w:val="32"/>
          <w:szCs w:val="32"/>
        </w:rPr>
        <w:t>，办公室主任由</w:t>
      </w:r>
      <w:r>
        <w:rPr>
          <w:rFonts w:hint="eastAsia" w:ascii="仿宋_GB2312" w:hAnsi="仿宋_GB2312" w:eastAsia="仿宋_GB2312" w:cs="仿宋_GB2312"/>
          <w:b w:val="0"/>
          <w:bCs w:val="0"/>
          <w:color w:val="auto"/>
          <w:sz w:val="32"/>
          <w:szCs w:val="32"/>
          <w:lang w:eastAsia="zh-CN"/>
        </w:rPr>
        <w:t>市商务局副局长徐鹏若</w:t>
      </w:r>
      <w:r>
        <w:rPr>
          <w:rFonts w:hint="eastAsia" w:ascii="仿宋_GB2312" w:hAnsi="仿宋_GB2312" w:eastAsia="仿宋_GB2312" w:cs="仿宋_GB2312"/>
          <w:b w:val="0"/>
          <w:bCs w:val="0"/>
          <w:color w:val="auto"/>
          <w:sz w:val="32"/>
          <w:szCs w:val="32"/>
        </w:rPr>
        <w:t>担任，负责协调各地各部门，并推进相关工作。协调机制联络员，由</w:t>
      </w:r>
      <w:r>
        <w:rPr>
          <w:rFonts w:hint="eastAsia" w:ascii="仿宋_GB2312" w:hAnsi="仿宋_GB2312" w:eastAsia="仿宋_GB2312" w:cs="仿宋_GB2312"/>
          <w:b w:val="0"/>
          <w:bCs w:val="0"/>
          <w:color w:val="auto"/>
          <w:sz w:val="32"/>
          <w:szCs w:val="32"/>
          <w:lang w:eastAsia="zh-CN"/>
        </w:rPr>
        <w:t>市商务局、市财政局</w:t>
      </w:r>
      <w:r>
        <w:rPr>
          <w:rFonts w:hint="eastAsia" w:ascii="仿宋_GB2312" w:hAnsi="仿宋_GB2312" w:eastAsia="仿宋_GB2312" w:cs="仿宋_GB2312"/>
          <w:b w:val="0"/>
          <w:bCs w:val="0"/>
          <w:color w:val="auto"/>
          <w:sz w:val="32"/>
          <w:szCs w:val="32"/>
        </w:rPr>
        <w:t>有关同志及</w:t>
      </w:r>
      <w:r>
        <w:rPr>
          <w:rFonts w:hint="eastAsia" w:ascii="仿宋_GB2312" w:hAnsi="仿宋_GB2312" w:eastAsia="仿宋_GB2312" w:cs="仿宋_GB2312"/>
          <w:b w:val="0"/>
          <w:bCs w:val="0"/>
          <w:color w:val="auto"/>
          <w:sz w:val="32"/>
          <w:szCs w:val="32"/>
          <w:lang w:eastAsia="zh-CN"/>
        </w:rPr>
        <w:t>铁力市、嘉荫县、汤旺县</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伊美区、乌翠区</w:t>
      </w:r>
      <w:r>
        <w:rPr>
          <w:rFonts w:hint="eastAsia" w:ascii="仿宋_GB2312" w:hAnsi="仿宋_GB2312" w:eastAsia="仿宋_GB2312" w:cs="仿宋_GB2312"/>
          <w:b w:val="0"/>
          <w:bCs w:val="0"/>
          <w:color w:val="auto"/>
          <w:sz w:val="32"/>
          <w:szCs w:val="32"/>
        </w:rPr>
        <w:t>分管负责同志担任。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三、工作规则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协调机制根据工作需要定期或不定期召开会议，由总召集人或总召集人委托的同志主持，全体成员参会。按照工作需要，及时报告重点工作推进情况、需要解决的问题、针对问题提出的政策建议、行之有效的经验做法等。各成员单位可根据自身职责建立相应机制，协调解决推进落实中存在的问题和困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四、部门职责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市商务局</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市财政局</w:t>
      </w:r>
      <w:r>
        <w:rPr>
          <w:rFonts w:hint="eastAsia" w:ascii="仿宋_GB2312" w:hAnsi="仿宋_GB2312" w:eastAsia="仿宋_GB2312" w:cs="仿宋_GB2312"/>
          <w:b w:val="0"/>
          <w:bCs w:val="0"/>
          <w:color w:val="auto"/>
          <w:sz w:val="32"/>
          <w:szCs w:val="32"/>
        </w:rPr>
        <w:t>负责制定</w:t>
      </w:r>
      <w:r>
        <w:rPr>
          <w:rFonts w:hint="eastAsia" w:ascii="仿宋_GB2312" w:hAnsi="仿宋_GB2312" w:eastAsia="仿宋_GB2312" w:cs="仿宋_GB2312"/>
          <w:b w:val="0"/>
          <w:bCs w:val="0"/>
          <w:color w:val="auto"/>
          <w:sz w:val="32"/>
          <w:szCs w:val="32"/>
          <w:lang w:eastAsia="zh-CN"/>
        </w:rPr>
        <w:t>市级</w:t>
      </w:r>
      <w:r>
        <w:rPr>
          <w:rFonts w:hint="eastAsia" w:ascii="仿宋_GB2312" w:hAnsi="仿宋_GB2312" w:eastAsia="仿宋_GB2312" w:cs="仿宋_GB2312"/>
          <w:b w:val="0"/>
          <w:bCs w:val="0"/>
          <w:color w:val="auto"/>
          <w:sz w:val="32"/>
          <w:szCs w:val="32"/>
        </w:rPr>
        <w:t>实施方案，组织各地申报，确定支持的</w:t>
      </w:r>
      <w:r>
        <w:rPr>
          <w:rFonts w:hint="eastAsia" w:ascii="仿宋_GB2312" w:hAnsi="仿宋_GB2312" w:eastAsia="仿宋_GB2312" w:cs="仿宋_GB2312"/>
          <w:b w:val="0"/>
          <w:bCs w:val="0"/>
          <w:color w:val="auto"/>
          <w:sz w:val="32"/>
          <w:szCs w:val="32"/>
          <w:lang w:eastAsia="zh-CN"/>
        </w:rPr>
        <w:t>项目</w:t>
      </w:r>
      <w:r>
        <w:rPr>
          <w:rFonts w:hint="eastAsia" w:ascii="仿宋_GB2312" w:hAnsi="仿宋_GB2312" w:eastAsia="仿宋_GB2312" w:cs="仿宋_GB2312"/>
          <w:b w:val="0"/>
          <w:bCs w:val="0"/>
          <w:color w:val="auto"/>
          <w:sz w:val="32"/>
          <w:szCs w:val="32"/>
        </w:rPr>
        <w:t>，提出资金分配方案、下达中央财政资金及开展对</w:t>
      </w:r>
      <w:r>
        <w:rPr>
          <w:rFonts w:hint="eastAsia" w:ascii="仿宋_GB2312" w:hAnsi="仿宋_GB2312" w:eastAsia="仿宋_GB2312" w:cs="仿宋_GB2312"/>
          <w:b w:val="0"/>
          <w:bCs w:val="0"/>
          <w:color w:val="auto"/>
          <w:sz w:val="32"/>
          <w:szCs w:val="32"/>
          <w:lang w:eastAsia="zh-CN"/>
        </w:rPr>
        <w:t>项目所在</w:t>
      </w:r>
      <w:r>
        <w:rPr>
          <w:rFonts w:hint="eastAsia" w:ascii="仿宋_GB2312" w:hAnsi="仿宋_GB2312" w:eastAsia="仿宋_GB2312" w:cs="仿宋_GB2312"/>
          <w:b w:val="0"/>
          <w:bCs w:val="0"/>
          <w:color w:val="auto"/>
          <w:sz w:val="32"/>
          <w:szCs w:val="32"/>
        </w:rPr>
        <w:t>县</w:t>
      </w:r>
      <w:r>
        <w:rPr>
          <w:rFonts w:hint="eastAsia" w:ascii="仿宋_GB2312" w:hAnsi="仿宋_GB2312" w:eastAsia="仿宋_GB2312" w:cs="仿宋_GB2312"/>
          <w:b w:val="0"/>
          <w:bCs w:val="0"/>
          <w:color w:val="auto"/>
          <w:sz w:val="32"/>
          <w:szCs w:val="32"/>
          <w:lang w:eastAsia="zh-CN"/>
        </w:rPr>
        <w:t>（区）</w:t>
      </w:r>
      <w:r>
        <w:rPr>
          <w:rFonts w:hint="eastAsia" w:ascii="仿宋_GB2312" w:hAnsi="仿宋_GB2312" w:eastAsia="仿宋_GB2312" w:cs="仿宋_GB2312"/>
          <w:b w:val="0"/>
          <w:bCs w:val="0"/>
          <w:color w:val="auto"/>
          <w:sz w:val="32"/>
          <w:szCs w:val="32"/>
        </w:rPr>
        <w:t>的绩效评价工作。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Nimbus Roman No9 L" w:hAnsi="Nimbus Roman No9 L" w:eastAsia="仿宋_GB2312" w:cs="Nimbus Roman No9 L"/>
          <w:b w:val="0"/>
          <w:bCs w:val="0"/>
          <w:color w:val="auto"/>
          <w:sz w:val="32"/>
          <w:szCs w:val="32"/>
        </w:rPr>
      </w:pPr>
      <w:r>
        <w:rPr>
          <w:rFonts w:hint="eastAsia" w:ascii="仿宋_GB2312" w:hAnsi="仿宋_GB2312" w:eastAsia="仿宋_GB2312" w:cs="仿宋_GB2312"/>
          <w:b w:val="0"/>
          <w:bCs w:val="0"/>
          <w:color w:val="auto"/>
          <w:sz w:val="32"/>
          <w:szCs w:val="32"/>
        </w:rPr>
        <w:t>各</w:t>
      </w:r>
      <w:r>
        <w:rPr>
          <w:rFonts w:hint="eastAsia" w:ascii="仿宋_GB2312" w:hAnsi="仿宋_GB2312" w:eastAsia="仿宋_GB2312" w:cs="仿宋_GB2312"/>
          <w:b w:val="0"/>
          <w:bCs w:val="0"/>
          <w:color w:val="auto"/>
          <w:sz w:val="32"/>
          <w:szCs w:val="32"/>
          <w:lang w:eastAsia="zh-CN"/>
        </w:rPr>
        <w:t>项目所在</w:t>
      </w:r>
      <w:r>
        <w:rPr>
          <w:rFonts w:hint="eastAsia" w:ascii="仿宋_GB2312" w:hAnsi="仿宋_GB2312" w:eastAsia="仿宋_GB2312" w:cs="仿宋_GB2312"/>
          <w:b w:val="0"/>
          <w:bCs w:val="0"/>
          <w:color w:val="auto"/>
          <w:sz w:val="32"/>
          <w:szCs w:val="32"/>
        </w:rPr>
        <w:t>县</w:t>
      </w:r>
      <w:r>
        <w:rPr>
          <w:rFonts w:hint="eastAsia" w:ascii="仿宋_GB2312" w:hAnsi="仿宋_GB2312" w:eastAsia="仿宋_GB2312" w:cs="仿宋_GB2312"/>
          <w:b w:val="0"/>
          <w:bCs w:val="0"/>
          <w:color w:val="auto"/>
          <w:sz w:val="32"/>
          <w:szCs w:val="32"/>
          <w:lang w:eastAsia="zh-CN"/>
        </w:rPr>
        <w:t>（区）</w:t>
      </w:r>
      <w:r>
        <w:rPr>
          <w:rFonts w:hint="eastAsia" w:ascii="仿宋_GB2312" w:hAnsi="仿宋_GB2312" w:eastAsia="仿宋_GB2312" w:cs="仿宋_GB2312"/>
          <w:b w:val="0"/>
          <w:bCs w:val="0"/>
          <w:color w:val="auto"/>
          <w:sz w:val="32"/>
          <w:szCs w:val="32"/>
        </w:rPr>
        <w:t>商务、财政主管部门是项目建设的直接责任主体，负责本地实施方案的制定，确定试点项目，遴选项目承建企业，项目的组织实施、日常监管、绩效评价、项目验收、资金管理及拨付等工作</w:t>
      </w:r>
      <w:r>
        <w:rPr>
          <w:rFonts w:hint="eastAsia" w:ascii="Nimbus Roman No9 L" w:hAnsi="Nimbus Roman No9 L" w:eastAsia="仿宋_GB2312" w:cs="Nimbus Roman No9 L"/>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五、工作要求</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eastAsia="宋体"/>
          <w:b w:val="0"/>
          <w:bCs w:val="0"/>
          <w:color w:val="auto"/>
          <w:sz w:val="32"/>
          <w:szCs w:val="32"/>
          <w:lang w:eastAsia="zh-CN"/>
        </w:rPr>
      </w:pPr>
      <w:r>
        <w:rPr>
          <w:rFonts w:hint="eastAsia" w:ascii="仿宋_GB2312" w:hAnsi="仿宋_GB2312" w:eastAsia="仿宋_GB2312" w:cs="仿宋_GB2312"/>
          <w:b w:val="0"/>
          <w:bCs w:val="0"/>
          <w:color w:val="auto"/>
          <w:sz w:val="32"/>
          <w:szCs w:val="32"/>
        </w:rPr>
        <w:t>各成员单位要深入研究《伊春市2023年农产品供应链体系建设工作实施方案》确定的工作任务，按照要求推进各项工作，确保各地目标任务和项目建设完成</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要认真落实协调机制确定的工作任务和议定事项，充分发挥协调机制作用，加强沟通，密切配合，相互支持，形成部门合力。各成员单位领导要高度重视，亲自督促重点工作任务落实，压实主体责任，确保协调机制有效运作。协调机制办公室要加强对协调机制议定事项的跟踪督促落实，及时向</w:t>
      </w:r>
      <w:r>
        <w:rPr>
          <w:rFonts w:hint="eastAsia" w:ascii="仿宋_GB2312" w:hAnsi="仿宋_GB2312" w:eastAsia="仿宋_GB2312" w:cs="仿宋_GB2312"/>
          <w:b w:val="0"/>
          <w:bCs w:val="0"/>
          <w:color w:val="auto"/>
          <w:sz w:val="32"/>
          <w:szCs w:val="32"/>
          <w:lang w:eastAsia="zh-CN"/>
        </w:rPr>
        <w:t>市</w:t>
      </w:r>
      <w:r>
        <w:rPr>
          <w:rFonts w:hint="eastAsia" w:ascii="仿宋_GB2312" w:hAnsi="仿宋_GB2312" w:eastAsia="仿宋_GB2312" w:cs="仿宋_GB2312"/>
          <w:b w:val="0"/>
          <w:bCs w:val="0"/>
          <w:color w:val="auto"/>
          <w:sz w:val="32"/>
          <w:szCs w:val="32"/>
        </w:rPr>
        <w:t>政府和成员单位通报有关情况。</w:t>
      </w:r>
    </w:p>
    <w:sectPr>
      <w:footerReference r:id="rId5" w:type="default"/>
      <w:pgSz w:w="11906" w:h="16838"/>
      <w:pgMar w:top="2154" w:right="1474" w:bottom="1157"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Nimbus Roman No9 L">
    <w:altName w:val="微软雅黑"/>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r>
                      <w:rPr>
                        <w:rFonts w:hint="eastAsia" w:ascii="宋体" w:hAnsi="宋体" w:cs="宋体"/>
                        <w:sz w:val="28"/>
                        <w:szCs w:val="28"/>
                        <w:lang w:eastAsia="zh-CN"/>
                      </w:rPr>
                      <w:t>—</w:t>
                    </w:r>
                  </w:p>
                </w:txbxContent>
              </v:textbox>
            </v:shape>
          </w:pict>
        </mc:Fallback>
      </mc:AlternateContent>
    </w:r>
  </w:p>
  <w:p>
    <w:pPr>
      <w:pStyle w:val="5"/>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- 9 -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- 9 -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p>
    <w:pPr>
      <w:pStyle w:val="5"/>
    </w:pP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EBAFA"/>
    <w:multiLevelType w:val="singleLevel"/>
    <w:tmpl w:val="CFAEBAFA"/>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YzEyZjBlODM5NmVmZWI0NDBkODM4ODJjZjc4M2UifQ=="/>
  </w:docVars>
  <w:rsids>
    <w:rsidRoot w:val="00000000"/>
    <w:rsid w:val="07DB3E5E"/>
    <w:rsid w:val="0C523547"/>
    <w:rsid w:val="0D3743C4"/>
    <w:rsid w:val="11C16D1C"/>
    <w:rsid w:val="199C72EF"/>
    <w:rsid w:val="1C0C6A61"/>
    <w:rsid w:val="1D656CA7"/>
    <w:rsid w:val="20206C37"/>
    <w:rsid w:val="2190481B"/>
    <w:rsid w:val="23404127"/>
    <w:rsid w:val="234C25F1"/>
    <w:rsid w:val="2C086594"/>
    <w:rsid w:val="2DDB2623"/>
    <w:rsid w:val="345835CB"/>
    <w:rsid w:val="37354C60"/>
    <w:rsid w:val="375C61C8"/>
    <w:rsid w:val="3B4B1FCD"/>
    <w:rsid w:val="3F964FFF"/>
    <w:rsid w:val="40435FBA"/>
    <w:rsid w:val="4C33362A"/>
    <w:rsid w:val="50DF50E8"/>
    <w:rsid w:val="514444D9"/>
    <w:rsid w:val="5206792A"/>
    <w:rsid w:val="52DD488C"/>
    <w:rsid w:val="53290418"/>
    <w:rsid w:val="55890743"/>
    <w:rsid w:val="596F6C4D"/>
    <w:rsid w:val="5B2376E3"/>
    <w:rsid w:val="5BFCA7DB"/>
    <w:rsid w:val="5D4C4167"/>
    <w:rsid w:val="66DC59A2"/>
    <w:rsid w:val="68C07DC9"/>
    <w:rsid w:val="6BCF7B60"/>
    <w:rsid w:val="6CD4183F"/>
    <w:rsid w:val="6E11199B"/>
    <w:rsid w:val="6F9A4E76"/>
    <w:rsid w:val="77213272"/>
    <w:rsid w:val="77F6016F"/>
    <w:rsid w:val="787F0773"/>
    <w:rsid w:val="78C61D11"/>
    <w:rsid w:val="7CEF1AAC"/>
    <w:rsid w:val="7EDFB2A7"/>
    <w:rsid w:val="DDAC1DAB"/>
    <w:rsid w:val="E7EEC838"/>
    <w:rsid w:val="F83F0C6D"/>
    <w:rsid w:val="FC9AF67B"/>
    <w:rsid w:val="FD6AEE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500" w:lineRule="exact"/>
      <w:ind w:firstLine="420" w:firstLineChars="200"/>
    </w:pPr>
  </w:style>
  <w:style w:type="paragraph" w:styleId="3">
    <w:name w:val="Body Text Indent"/>
    <w:basedOn w:val="1"/>
    <w:qFormat/>
    <w:uiPriority w:val="0"/>
    <w:pPr>
      <w:ind w:firstLine="630"/>
    </w:pPr>
    <w:rPr>
      <w:rFonts w:ascii="Times New Roman" w:hAnsi="Times New Roman"/>
    </w:rPr>
  </w:style>
  <w:style w:type="paragraph" w:styleId="4">
    <w:name w:val="Normal Indent"/>
    <w:basedOn w:val="1"/>
    <w:qFormat/>
    <w:uiPriority w:val="0"/>
    <w:pPr>
      <w:ind w:firstLine="420" w:firstLineChars="20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rFonts w:cs="Times New Roman" w:eastAsiaTheme="minorEastAsia"/>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正文 New New New New New New New New New New New New New New New New New New New New New New New New New New New New New New New New"/>
    <w:qFormat/>
    <w:uiPriority w:val="0"/>
    <w:pPr>
      <w:widowControl w:val="0"/>
      <w:jc w:val="both"/>
    </w:pPr>
    <w:rPr>
      <w:rFonts w:ascii="仿宋_GB2312" w:hAnsi="Times New Roman" w:eastAsia="仿宋_GB2312" w:cs="Times New Roman"/>
      <w:kern w:val="2"/>
      <w:sz w:val="32"/>
      <w:szCs w:val="32"/>
      <w:lang w:val="en-US" w:eastAsia="zh-CN" w:bidi="ar-SA"/>
    </w:rPr>
  </w:style>
  <w:style w:type="paragraph" w:customStyle="1" w:styleId="13">
    <w:name w:val="正文 New New New New New New New New New New New New New New New New New New New New New New New New New New New New New New New New New"/>
    <w:qFormat/>
    <w:uiPriority w:val="0"/>
    <w:pPr>
      <w:widowControl w:val="0"/>
      <w:jc w:val="both"/>
    </w:pPr>
    <w:rPr>
      <w:rFonts w:ascii="仿宋_GB2312" w:hAnsi="Times New Roman" w:eastAsia="仿宋_GB2312" w:cs="Times New Roman"/>
      <w:kern w:val="2"/>
      <w:sz w:val="32"/>
      <w:szCs w:val="32"/>
      <w:lang w:val="en-US" w:eastAsia="zh-CN" w:bidi="ar-SA"/>
    </w:rPr>
  </w:style>
  <w:style w:type="paragraph" w:customStyle="1" w:styleId="14">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6670</Words>
  <Characters>7118</Characters>
  <Lines>0</Lines>
  <Paragraphs>0</Paragraphs>
  <TotalTime>0</TotalTime>
  <ScaleCrop>false</ScaleCrop>
  <LinksUpToDate>false</LinksUpToDate>
  <CharactersWithSpaces>7176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Administrator.SKY-20190703FVH</dc:creator>
  <cp:lastModifiedBy>锐</cp:lastModifiedBy>
  <cp:lastPrinted>2023-10-10T08:22:00Z</cp:lastPrinted>
  <dcterms:modified xsi:type="dcterms:W3CDTF">2023-10-11T08:06:33Z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2C20F1FECE134A29B5D4659247BD7533</vt:lpwstr>
  </property>
</Properties>
</file>