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伊春市本级学前教育专项</w:t>
      </w:r>
      <w:r>
        <w:rPr>
          <w:rFonts w:hint="eastAsia" w:ascii="方正小标宋简体" w:hAnsi="方正小标宋简体" w:eastAsia="方正小标宋简体" w:cs="方正小标宋简体"/>
          <w:b w:val="0"/>
          <w:bCs/>
          <w:color w:val="auto"/>
          <w:sz w:val="44"/>
          <w:szCs w:val="44"/>
        </w:rPr>
        <w:t>转移支付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eastAsia="宋体" w:cs="宋体"/>
          <w:b/>
          <w:color w:val="auto"/>
          <w:sz w:val="36"/>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一、绩效目标分解下达情况</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（一）中央和省下达专项转移支付预算和绩效目标情况。</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黑体" w:eastAsia="仿宋_GB2312" w:cs="黑体"/>
          <w:bCs/>
          <w:color w:val="auto"/>
          <w:sz w:val="32"/>
          <w:szCs w:val="32"/>
          <w:lang w:val="en-US" w:eastAsia="zh-CN"/>
        </w:rPr>
      </w:pPr>
      <w:r>
        <w:rPr>
          <w:rFonts w:hint="eastAsia" w:ascii="仿宋_GB2312"/>
          <w:color w:val="auto"/>
          <w:sz w:val="32"/>
          <w:szCs w:val="32"/>
          <w:lang w:val="en-US" w:eastAsia="zh-CN"/>
        </w:rPr>
        <w:t>2024</w:t>
      </w:r>
      <w:r>
        <w:rPr>
          <w:rFonts w:hint="eastAsia" w:ascii="仿宋_GB2312"/>
          <w:color w:val="auto"/>
          <w:sz w:val="32"/>
          <w:szCs w:val="32"/>
        </w:rPr>
        <w:t>年我</w:t>
      </w:r>
      <w:r>
        <w:rPr>
          <w:rFonts w:hint="eastAsia" w:ascii="仿宋_GB2312"/>
          <w:color w:val="auto"/>
          <w:sz w:val="32"/>
          <w:szCs w:val="32"/>
          <w:lang w:val="en-US" w:eastAsia="zh-CN"/>
        </w:rPr>
        <w:t>市收到</w:t>
      </w:r>
      <w:r>
        <w:rPr>
          <w:rFonts w:hint="eastAsia" w:ascii="仿宋_GB2312"/>
          <w:color w:val="auto"/>
          <w:sz w:val="32"/>
          <w:szCs w:val="32"/>
          <w:lang w:eastAsia="zh-CN"/>
        </w:rPr>
        <w:t>中央</w:t>
      </w:r>
      <w:r>
        <w:rPr>
          <w:rFonts w:hint="eastAsia" w:ascii="仿宋_GB2312"/>
          <w:color w:val="auto"/>
          <w:sz w:val="32"/>
          <w:szCs w:val="32"/>
        </w:rPr>
        <w:t>下达</w:t>
      </w:r>
      <w:r>
        <w:rPr>
          <w:rFonts w:hint="eastAsia" w:ascii="仿宋_GB2312"/>
          <w:color w:val="auto"/>
          <w:sz w:val="32"/>
          <w:szCs w:val="32"/>
          <w:lang w:eastAsia="zh-CN"/>
        </w:rPr>
        <w:t>的</w:t>
      </w:r>
      <w:r>
        <w:rPr>
          <w:rFonts w:hint="eastAsia" w:ascii="仿宋_GB2312"/>
          <w:color w:val="auto"/>
          <w:sz w:val="32"/>
          <w:szCs w:val="32"/>
        </w:rPr>
        <w:t>学前教育专项转移支付资金</w:t>
      </w:r>
      <w:r>
        <w:rPr>
          <w:rFonts w:hint="eastAsia" w:ascii="仿宋_GB2312"/>
          <w:color w:val="auto"/>
          <w:sz w:val="32"/>
          <w:szCs w:val="32"/>
          <w:lang w:val="en-US" w:eastAsia="zh-CN"/>
        </w:rPr>
        <w:t>2</w:t>
      </w:r>
      <w:r>
        <w:rPr>
          <w:rFonts w:hint="eastAsia" w:ascii="仿宋_GB2312"/>
          <w:color w:val="auto"/>
          <w:sz w:val="32"/>
          <w:szCs w:val="32"/>
        </w:rPr>
        <w:t>笔，分别为</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w:t>
      </w:r>
      <w:r>
        <w:rPr>
          <w:rFonts w:hint="eastAsia" w:ascii="仿宋_GB2312"/>
          <w:sz w:val="32"/>
          <w:szCs w:val="32"/>
        </w:rPr>
        <w:t>关于提前下达202</w:t>
      </w:r>
      <w:r>
        <w:rPr>
          <w:rFonts w:hint="eastAsia" w:ascii="仿宋_GB2312"/>
          <w:sz w:val="32"/>
          <w:szCs w:val="32"/>
          <w:lang w:val="en-US" w:eastAsia="zh-CN"/>
        </w:rPr>
        <w:t>4</w:t>
      </w:r>
      <w:r>
        <w:rPr>
          <w:rFonts w:hint="eastAsia" w:ascii="仿宋_GB2312"/>
          <w:sz w:val="32"/>
          <w:szCs w:val="32"/>
        </w:rPr>
        <w:t>年支持学前教育发展资金的通知》</w:t>
      </w:r>
      <w:r>
        <w:rPr>
          <w:rFonts w:hint="eastAsia" w:ascii="仿宋_GB2312"/>
          <w:sz w:val="32"/>
          <w:szCs w:val="32"/>
          <w:lang w:val="en-US" w:eastAsia="zh-CN"/>
        </w:rPr>
        <w:t>[</w:t>
      </w:r>
      <w:r>
        <w:rPr>
          <w:rFonts w:hint="eastAsia" w:ascii="仿宋_GB2312"/>
          <w:sz w:val="32"/>
          <w:szCs w:val="32"/>
        </w:rPr>
        <w:t>黑财指（教）〔</w:t>
      </w:r>
      <w:r>
        <w:rPr>
          <w:rFonts w:hint="eastAsia" w:ascii="仿宋_GB2312"/>
          <w:sz w:val="32"/>
          <w:szCs w:val="32"/>
          <w:lang w:val="en-US" w:eastAsia="zh-CN"/>
        </w:rPr>
        <w:t>2024</w:t>
      </w:r>
      <w:r>
        <w:rPr>
          <w:rFonts w:hint="eastAsia" w:ascii="仿宋_GB2312"/>
          <w:sz w:val="32"/>
          <w:szCs w:val="32"/>
        </w:rPr>
        <w:t>〕</w:t>
      </w:r>
      <w:r>
        <w:rPr>
          <w:rFonts w:hint="eastAsia" w:ascii="仿宋_GB2312"/>
          <w:sz w:val="32"/>
          <w:szCs w:val="32"/>
          <w:lang w:val="en-US" w:eastAsia="zh-CN"/>
        </w:rPr>
        <w:t>82</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rPr>
        <w:t>，下达资金</w:t>
      </w:r>
      <w:r>
        <w:rPr>
          <w:rFonts w:hint="eastAsia" w:ascii="仿宋_GB2312"/>
          <w:color w:val="auto"/>
          <w:sz w:val="32"/>
          <w:szCs w:val="32"/>
          <w:lang w:val="en-US" w:eastAsia="zh-CN"/>
        </w:rPr>
        <w:t>531</w:t>
      </w:r>
      <w:r>
        <w:rPr>
          <w:rFonts w:hint="eastAsia" w:ascii="仿宋_GB2312"/>
          <w:color w:val="auto"/>
          <w:sz w:val="32"/>
          <w:szCs w:val="32"/>
        </w:rPr>
        <w:t>万元；</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w:t>
      </w:r>
      <w:r>
        <w:rPr>
          <w:rFonts w:hint="eastAsia" w:ascii="仿宋_GB2312"/>
          <w:sz w:val="32"/>
          <w:szCs w:val="32"/>
        </w:rPr>
        <w:t>关于下达</w:t>
      </w:r>
      <w:r>
        <w:rPr>
          <w:rFonts w:hint="eastAsia" w:ascii="仿宋_GB2312"/>
          <w:sz w:val="32"/>
          <w:szCs w:val="32"/>
          <w:lang w:val="en-US" w:eastAsia="zh-CN"/>
        </w:rPr>
        <w:t>2024年支持</w:t>
      </w:r>
      <w:r>
        <w:rPr>
          <w:rFonts w:hint="eastAsia" w:ascii="仿宋_GB2312"/>
          <w:sz w:val="32"/>
          <w:szCs w:val="32"/>
        </w:rPr>
        <w:t>学前教育发展资金的通知》</w:t>
      </w:r>
      <w:r>
        <w:rPr>
          <w:rFonts w:hint="eastAsia" w:ascii="仿宋_GB2312"/>
          <w:sz w:val="32"/>
          <w:szCs w:val="32"/>
          <w:lang w:val="en-US" w:eastAsia="zh-CN"/>
        </w:rPr>
        <w:t>[</w:t>
      </w:r>
      <w:r>
        <w:rPr>
          <w:rFonts w:hint="eastAsia" w:ascii="仿宋_GB2312"/>
          <w:sz w:val="32"/>
          <w:szCs w:val="32"/>
        </w:rPr>
        <w:t>黑财指（教）〔</w:t>
      </w:r>
      <w:r>
        <w:rPr>
          <w:rFonts w:hint="eastAsia" w:ascii="仿宋_GB2312"/>
          <w:sz w:val="32"/>
          <w:szCs w:val="32"/>
          <w:lang w:val="en-US" w:eastAsia="zh-CN"/>
        </w:rPr>
        <w:t>2024</w:t>
      </w:r>
      <w:r>
        <w:rPr>
          <w:rFonts w:hint="eastAsia" w:ascii="仿宋_GB2312"/>
          <w:sz w:val="32"/>
          <w:szCs w:val="32"/>
        </w:rPr>
        <w:t>〕</w:t>
      </w:r>
      <w:r>
        <w:rPr>
          <w:rFonts w:hint="eastAsia" w:ascii="仿宋_GB2312"/>
          <w:sz w:val="32"/>
          <w:szCs w:val="32"/>
          <w:lang w:val="en-US" w:eastAsia="zh-CN"/>
        </w:rPr>
        <w:t>215</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rPr>
        <w:t>，下达资</w:t>
      </w:r>
      <w:r>
        <w:rPr>
          <w:rFonts w:hint="eastAsia" w:ascii="仿宋_GB2312"/>
          <w:sz w:val="32"/>
          <w:szCs w:val="32"/>
        </w:rPr>
        <w:t>金</w:t>
      </w:r>
      <w:r>
        <w:rPr>
          <w:rFonts w:hint="eastAsia" w:ascii="仿宋_GB2312"/>
          <w:sz w:val="32"/>
          <w:szCs w:val="32"/>
          <w:lang w:val="en-US" w:eastAsia="zh-CN"/>
        </w:rPr>
        <w:t>92</w:t>
      </w:r>
      <w:r>
        <w:rPr>
          <w:rFonts w:hint="eastAsia" w:ascii="仿宋_GB2312"/>
          <w:sz w:val="32"/>
          <w:szCs w:val="32"/>
        </w:rPr>
        <w:t>万元，全年</w:t>
      </w:r>
      <w:r>
        <w:rPr>
          <w:rFonts w:hint="eastAsia" w:ascii="仿宋_GB2312"/>
          <w:sz w:val="32"/>
          <w:szCs w:val="32"/>
          <w:lang w:eastAsia="zh-CN"/>
        </w:rPr>
        <w:t>下达中央资金</w:t>
      </w:r>
      <w:r>
        <w:rPr>
          <w:rFonts w:hint="eastAsia" w:ascii="仿宋_GB2312"/>
          <w:sz w:val="32"/>
          <w:szCs w:val="32"/>
          <w:lang w:val="en-US" w:eastAsia="zh-CN"/>
        </w:rPr>
        <w:t>623</w:t>
      </w:r>
      <w:r>
        <w:rPr>
          <w:rFonts w:hint="eastAsia" w:ascii="仿宋_GB2312"/>
          <w:sz w:val="32"/>
          <w:szCs w:val="32"/>
        </w:rPr>
        <w:t>万元</w:t>
      </w:r>
      <w:r>
        <w:rPr>
          <w:rFonts w:hint="eastAsia" w:ascii="仿宋_GB2312"/>
          <w:sz w:val="32"/>
          <w:szCs w:val="32"/>
          <w:lang w:eastAsia="zh-CN"/>
        </w:rPr>
        <w:t>，用于普惠性幼儿园改善办学条件</w:t>
      </w:r>
      <w:r>
        <w:rPr>
          <w:rFonts w:hint="eastAsia" w:ascii="仿宋_GB2312"/>
          <w:color w:val="auto"/>
          <w:sz w:val="32"/>
          <w:szCs w:val="32"/>
          <w:lang w:eastAsia="zh-CN"/>
        </w:rPr>
        <w:t>，改扩建校舍、资助家庭经济困难幼儿等。</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市内分解下达预算和绩效目标情况。</w:t>
      </w:r>
    </w:p>
    <w:p>
      <w:pPr>
        <w:keepNext w:val="0"/>
        <w:keepLines w:val="0"/>
        <w:pageBreakBefore w:val="0"/>
        <w:kinsoku/>
        <w:wordWrap/>
        <w:overflowPunct/>
        <w:topLinePunct w:val="0"/>
        <w:autoSpaceDE/>
        <w:autoSpaceDN/>
        <w:bidi w:val="0"/>
        <w:adjustRightInd/>
        <w:snapToGrid/>
        <w:spacing w:line="540" w:lineRule="exact"/>
        <w:ind w:firstLine="642" w:firstLineChars="200"/>
        <w:jc w:val="both"/>
        <w:textAlignment w:val="auto"/>
        <w:rPr>
          <w:rFonts w:hint="default" w:ascii="仿宋_GB2312" w:hAnsi="黑体" w:eastAsia="仿宋_GB2312" w:cs="黑体"/>
          <w:bCs/>
          <w:color w:val="auto"/>
          <w:sz w:val="32"/>
          <w:szCs w:val="32"/>
          <w:highlight w:val="none"/>
          <w:lang w:val="en-US" w:eastAsia="zh-CN"/>
        </w:rPr>
      </w:pPr>
      <w:r>
        <w:rPr>
          <w:rFonts w:hint="eastAsia" w:ascii="仿宋_GB2312" w:hAnsi="黑体" w:cs="黑体"/>
          <w:b/>
          <w:bCs w:val="0"/>
          <w:color w:val="auto"/>
          <w:sz w:val="32"/>
          <w:szCs w:val="32"/>
          <w:lang w:val="en-US" w:eastAsia="zh-CN"/>
        </w:rPr>
        <w:t>下达预算情况：</w:t>
      </w:r>
      <w:r>
        <w:rPr>
          <w:rFonts w:hint="eastAsia" w:ascii="仿宋_GB2312" w:hAnsi="黑体" w:cs="黑体"/>
          <w:bCs/>
          <w:color w:val="auto"/>
          <w:sz w:val="32"/>
          <w:szCs w:val="32"/>
        </w:rPr>
        <w:t>我</w:t>
      </w:r>
      <w:r>
        <w:rPr>
          <w:rFonts w:hint="eastAsia" w:ascii="仿宋_GB2312"/>
          <w:color w:val="auto"/>
          <w:sz w:val="32"/>
          <w:szCs w:val="32"/>
          <w:lang w:val="en-US" w:eastAsia="zh-CN"/>
        </w:rPr>
        <w:t>市</w:t>
      </w:r>
      <w:r>
        <w:rPr>
          <w:rFonts w:hint="eastAsia" w:ascii="仿宋_GB2312" w:hAnsi="黑体" w:cs="黑体"/>
          <w:bCs/>
          <w:color w:val="auto"/>
          <w:sz w:val="32"/>
          <w:szCs w:val="32"/>
        </w:rPr>
        <w:t>按照</w:t>
      </w:r>
      <w:r>
        <w:rPr>
          <w:rFonts w:hint="eastAsia" w:ascii="仿宋_GB2312" w:hAnsi="黑体" w:cs="黑体"/>
          <w:bCs/>
          <w:color w:val="auto"/>
          <w:sz w:val="32"/>
          <w:szCs w:val="32"/>
          <w:lang w:eastAsia="zh-CN"/>
        </w:rPr>
        <w:t>中央</w:t>
      </w:r>
      <w:r>
        <w:rPr>
          <w:rFonts w:hint="eastAsia" w:ascii="仿宋_GB2312" w:hAnsi="黑体" w:cs="黑体"/>
          <w:bCs/>
          <w:color w:val="auto"/>
          <w:sz w:val="32"/>
          <w:szCs w:val="32"/>
        </w:rPr>
        <w:t>下达的指标数，根据资金使用范围和使用要求，</w:t>
      </w:r>
      <w:r>
        <w:rPr>
          <w:rFonts w:hint="eastAsia" w:ascii="仿宋_GB2312" w:hAnsi="黑体" w:cs="黑体"/>
          <w:bCs/>
          <w:color w:val="auto"/>
          <w:sz w:val="32"/>
          <w:szCs w:val="32"/>
          <w:lang w:eastAsia="zh-CN"/>
        </w:rPr>
        <w:t>对专项资金进行了合理分配，分别下达给伊美</w:t>
      </w:r>
      <w:r>
        <w:rPr>
          <w:rFonts w:hint="eastAsia" w:ascii="仿宋_GB2312" w:hAnsi="黑体" w:cs="黑体"/>
          <w:bCs/>
          <w:color w:val="auto"/>
          <w:sz w:val="32"/>
          <w:szCs w:val="32"/>
          <w:highlight w:val="none"/>
          <w:lang w:eastAsia="zh-CN"/>
        </w:rPr>
        <w:t>区</w:t>
      </w:r>
      <w:r>
        <w:rPr>
          <w:rFonts w:hint="eastAsia" w:ascii="仿宋_GB2312" w:hAnsi="黑体" w:cs="黑体"/>
          <w:bCs/>
          <w:color w:val="auto"/>
          <w:sz w:val="32"/>
          <w:szCs w:val="32"/>
          <w:highlight w:val="none"/>
          <w:lang w:val="en-US" w:eastAsia="zh-CN"/>
        </w:rPr>
        <w:t>171.3</w:t>
      </w:r>
      <w:r>
        <w:rPr>
          <w:rFonts w:hint="eastAsia" w:ascii="仿宋_GB2312" w:hAnsi="黑体" w:cs="黑体"/>
          <w:bCs/>
          <w:color w:val="auto"/>
          <w:sz w:val="32"/>
          <w:szCs w:val="32"/>
          <w:highlight w:val="none"/>
          <w:lang w:eastAsia="zh-CN"/>
        </w:rPr>
        <w:t>万元，乌翠区</w:t>
      </w:r>
      <w:r>
        <w:rPr>
          <w:rFonts w:hint="eastAsia" w:ascii="仿宋_GB2312" w:hAnsi="黑体" w:cs="黑体"/>
          <w:bCs/>
          <w:color w:val="auto"/>
          <w:sz w:val="32"/>
          <w:szCs w:val="32"/>
          <w:highlight w:val="none"/>
          <w:lang w:val="en-US" w:eastAsia="zh-CN"/>
        </w:rPr>
        <w:t>162.9</w:t>
      </w:r>
      <w:r>
        <w:rPr>
          <w:rFonts w:hint="eastAsia" w:ascii="仿宋_GB2312" w:hAnsi="黑体" w:cs="黑体"/>
          <w:bCs/>
          <w:color w:val="auto"/>
          <w:sz w:val="32"/>
          <w:szCs w:val="32"/>
          <w:highlight w:val="none"/>
          <w:lang w:eastAsia="zh-CN"/>
        </w:rPr>
        <w:t>万元，金林区</w:t>
      </w:r>
      <w:r>
        <w:rPr>
          <w:rFonts w:hint="eastAsia" w:ascii="仿宋_GB2312" w:hAnsi="黑体" w:cs="黑体"/>
          <w:bCs/>
          <w:color w:val="auto"/>
          <w:sz w:val="32"/>
          <w:szCs w:val="32"/>
          <w:highlight w:val="none"/>
          <w:lang w:val="en-US" w:eastAsia="zh-CN"/>
        </w:rPr>
        <w:t>126.6</w:t>
      </w:r>
      <w:r>
        <w:rPr>
          <w:rFonts w:hint="eastAsia" w:ascii="仿宋_GB2312" w:hAnsi="黑体" w:cs="黑体"/>
          <w:bCs/>
          <w:color w:val="auto"/>
          <w:sz w:val="32"/>
          <w:szCs w:val="32"/>
          <w:highlight w:val="none"/>
          <w:lang w:eastAsia="zh-CN"/>
        </w:rPr>
        <w:t>万元，友好区</w:t>
      </w:r>
      <w:r>
        <w:rPr>
          <w:rFonts w:hint="eastAsia" w:ascii="仿宋_GB2312" w:hAnsi="黑体" w:cs="黑体"/>
          <w:bCs/>
          <w:color w:val="auto"/>
          <w:sz w:val="32"/>
          <w:szCs w:val="32"/>
          <w:highlight w:val="none"/>
          <w:lang w:val="en-US" w:eastAsia="zh-CN"/>
        </w:rPr>
        <w:t>162.2</w:t>
      </w:r>
      <w:r>
        <w:rPr>
          <w:rFonts w:hint="eastAsia" w:ascii="仿宋_GB2312" w:hAnsi="黑体" w:cs="黑体"/>
          <w:bCs/>
          <w:color w:val="auto"/>
          <w:sz w:val="32"/>
          <w:szCs w:val="32"/>
          <w:highlight w:val="none"/>
          <w:lang w:eastAsia="zh-CN"/>
        </w:rPr>
        <w:t>万元。</w:t>
      </w:r>
      <w:r>
        <w:rPr>
          <w:rFonts w:hint="eastAsia" w:ascii="仿宋_GB2312" w:hAnsi="黑体" w:cs="黑体"/>
          <w:bCs/>
          <w:color w:val="auto"/>
          <w:sz w:val="32"/>
          <w:szCs w:val="32"/>
          <w:highlight w:val="none"/>
          <w:lang w:val="en-US" w:eastAsia="zh-CN"/>
        </w:rPr>
        <w:t>其中：</w:t>
      </w:r>
      <w:r>
        <w:rPr>
          <w:rFonts w:hint="eastAsia" w:ascii="仿宋_GB2312" w:hAnsi="黑体" w:cs="黑体"/>
          <w:bCs/>
          <w:color w:val="auto"/>
          <w:sz w:val="32"/>
          <w:szCs w:val="32"/>
          <w:highlight w:val="none"/>
          <w:lang w:eastAsia="zh-CN"/>
        </w:rPr>
        <w:t>公办园奖补</w:t>
      </w:r>
      <w:r>
        <w:rPr>
          <w:rFonts w:hint="eastAsia" w:ascii="仿宋_GB2312" w:hAnsi="黑体" w:cs="黑体"/>
          <w:bCs/>
          <w:color w:val="auto"/>
          <w:sz w:val="32"/>
          <w:szCs w:val="32"/>
          <w:highlight w:val="none"/>
          <w:lang w:val="en-US" w:eastAsia="zh-CN"/>
        </w:rPr>
        <w:t>596.1</w:t>
      </w:r>
      <w:r>
        <w:rPr>
          <w:rFonts w:hint="eastAsia" w:ascii="仿宋_GB2312" w:hAnsi="黑体" w:cs="黑体"/>
          <w:bCs/>
          <w:color w:val="auto"/>
          <w:sz w:val="32"/>
          <w:szCs w:val="32"/>
          <w:highlight w:val="none"/>
        </w:rPr>
        <w:t>万元，</w:t>
      </w:r>
      <w:r>
        <w:rPr>
          <w:rFonts w:hint="eastAsia" w:ascii="仿宋_GB2312" w:hAnsi="黑体" w:cs="黑体"/>
          <w:bCs/>
          <w:color w:val="auto"/>
          <w:sz w:val="32"/>
          <w:szCs w:val="32"/>
          <w:highlight w:val="none"/>
          <w:lang w:eastAsia="zh-CN"/>
        </w:rPr>
        <w:t>普惠性民办园奖补</w:t>
      </w:r>
      <w:r>
        <w:rPr>
          <w:rFonts w:hint="eastAsia" w:ascii="仿宋_GB2312" w:hAnsi="黑体" w:cs="黑体"/>
          <w:bCs/>
          <w:color w:val="auto"/>
          <w:sz w:val="32"/>
          <w:szCs w:val="32"/>
          <w:highlight w:val="none"/>
          <w:lang w:val="en-US" w:eastAsia="zh-CN"/>
        </w:rPr>
        <w:t>26.9万元。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ascii="仿宋_GB2312" w:hAnsi="黑体" w:cs="黑体"/>
          <w:bCs/>
          <w:color w:val="auto"/>
          <w:sz w:val="32"/>
          <w:szCs w:val="32"/>
          <w:highlight w:val="none"/>
          <w:lang w:val="en-US" w:eastAsia="zh-CN"/>
        </w:rPr>
      </w:pPr>
      <w:r>
        <w:rPr>
          <w:rFonts w:hint="eastAsia" w:ascii="仿宋_GB2312" w:hAnsi="黑体" w:cs="黑体"/>
          <w:b/>
          <w:bCs w:val="0"/>
          <w:color w:val="auto"/>
          <w:sz w:val="32"/>
          <w:szCs w:val="32"/>
          <w:highlight w:val="none"/>
          <w:lang w:val="en-US" w:eastAsia="zh-CN"/>
        </w:rPr>
        <w:t>绩效目标为：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cs="黑体"/>
          <w:bCs/>
          <w:color w:val="auto"/>
          <w:sz w:val="32"/>
          <w:szCs w:val="32"/>
        </w:rPr>
      </w:pPr>
      <w:r>
        <w:rPr>
          <w:rFonts w:hint="eastAsia" w:ascii="仿宋_GB2312" w:hAnsi="黑体" w:cs="黑体"/>
          <w:bCs/>
          <w:sz w:val="32"/>
          <w:szCs w:val="32"/>
        </w:rPr>
        <w:t>支持各地普惠性幼儿园购置玩教具及图书，新建改扩建公办幼儿园，扶持普惠性民办幼儿园发展及资助普惠性幼儿园家庭经济困难幼儿、孤儿及残疾儿童等。</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绩效目标完成情况分析</w:t>
      </w:r>
    </w:p>
    <w:p>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资金投入情况分析</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color w:val="auto"/>
          <w:sz w:val="32"/>
          <w:szCs w:val="32"/>
        </w:rPr>
        <w:t>从资金</w:t>
      </w:r>
      <w:r>
        <w:rPr>
          <w:rFonts w:hint="eastAsia"/>
          <w:color w:val="auto"/>
          <w:sz w:val="32"/>
          <w:szCs w:val="32"/>
        </w:rPr>
        <w:t>执行</w:t>
      </w:r>
      <w:r>
        <w:rPr>
          <w:color w:val="auto"/>
          <w:sz w:val="32"/>
          <w:szCs w:val="32"/>
        </w:rPr>
        <w:t>情况看，</w:t>
      </w:r>
      <w:r>
        <w:rPr>
          <w:rFonts w:hint="eastAsia"/>
          <w:color w:val="auto"/>
          <w:sz w:val="32"/>
          <w:szCs w:val="32"/>
          <w:lang w:eastAsia="zh-CN"/>
        </w:rPr>
        <w:t>预算</w:t>
      </w:r>
      <w:r>
        <w:rPr>
          <w:rFonts w:hint="eastAsia" w:ascii="仿宋_GB2312" w:hAnsi="仿宋_GB2312" w:eastAsia="仿宋_GB2312" w:cs="仿宋_GB2312"/>
          <w:color w:val="auto"/>
          <w:sz w:val="32"/>
          <w:szCs w:val="32"/>
          <w:lang w:eastAsia="zh-CN"/>
        </w:rPr>
        <w:t>资金到位率为</w:t>
      </w:r>
      <w:r>
        <w:rPr>
          <w:rFonts w:hint="eastAsia" w:ascii="仿宋_GB2312" w:hAnsi="仿宋_GB2312" w:eastAsia="仿宋_GB2312" w:cs="仿宋_GB2312"/>
          <w:color w:val="auto"/>
          <w:sz w:val="32"/>
          <w:szCs w:val="32"/>
          <w:lang w:val="en-US" w:eastAsia="zh-CN"/>
        </w:rPr>
        <w:t>100%，市级财政将专项资金及时分解下达，用于支持学前教育发展及疫情防控等，资金拨付均经过了相关审批程序，手续完整、合规。截止2024年年底，中央资金支出607.15万元，预算执行率为97.46%。其中：伊美区100%，金林区100%，乌翠区99.06%，友好区91.56%。</w:t>
      </w:r>
      <w:r>
        <w:rPr>
          <w:rFonts w:hint="eastAsia" w:ascii="仿宋_GB2312" w:hAnsi="仿宋_GB2312" w:cs="仿宋_GB2312"/>
          <w:color w:val="auto"/>
          <w:sz w:val="32"/>
          <w:szCs w:val="32"/>
          <w:lang w:val="en-US" w:eastAsia="zh-CN"/>
        </w:rPr>
        <w:t>友好区项目已完成竣工，结余资金为采购预算与实际成交价格的差额，2025年继续用于学前教育发展。</w:t>
      </w:r>
    </w:p>
    <w:p>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eastAsia="zh-CN"/>
        </w:rPr>
        <w:t>资金管理情况分析</w:t>
      </w:r>
    </w:p>
    <w:p>
      <w:pPr>
        <w:pStyle w:val="13"/>
        <w:keepNext w:val="0"/>
        <w:keepLines w:val="0"/>
        <w:pageBreakBefore w:val="0"/>
        <w:kinsoku/>
        <w:wordWrap/>
        <w:overflowPunct/>
        <w:topLinePunct w:val="0"/>
        <w:autoSpaceDE/>
        <w:autoSpaceDN/>
        <w:bidi w:val="0"/>
        <w:adjustRightInd/>
        <w:snapToGrid/>
        <w:spacing w:line="540" w:lineRule="exact"/>
        <w:ind w:firstLine="643"/>
        <w:textAlignment w:val="auto"/>
        <w:rPr>
          <w:rFonts w:hint="eastAsia" w:ascii="仿宋_GB2312" w:hAnsi="仿宋_GB2312" w:eastAsia="仿宋_GB2312" w:cs="仿宋_GB2312"/>
          <w:b/>
          <w:color w:val="auto"/>
          <w:sz w:val="32"/>
          <w:szCs w:val="32"/>
          <w:lang w:eastAsia="zh-CN"/>
        </w:rPr>
      </w:pPr>
      <w:r>
        <w:rPr>
          <w:rFonts w:hint="eastAsia" w:ascii="仿宋_GB2312"/>
          <w:color w:val="auto"/>
          <w:sz w:val="32"/>
          <w:szCs w:val="32"/>
          <w:lang w:eastAsia="zh-CN"/>
        </w:rPr>
        <w:t>学前教育专项转移支付资金是推动我市学前教育事业发展的有力资金保障。</w:t>
      </w:r>
      <w:r>
        <w:rPr>
          <w:rFonts w:ascii="仿宋_GB2312"/>
          <w:color w:val="auto"/>
          <w:sz w:val="32"/>
          <w:szCs w:val="32"/>
        </w:rPr>
        <w:t>为确保资金使用安全，</w:t>
      </w:r>
      <w:r>
        <w:rPr>
          <w:rFonts w:hint="eastAsia" w:ascii="仿宋_GB2312"/>
          <w:color w:val="auto"/>
          <w:sz w:val="32"/>
          <w:szCs w:val="32"/>
        </w:rPr>
        <w:t>发挥资金使用效益</w:t>
      </w:r>
      <w:r>
        <w:rPr>
          <w:rFonts w:ascii="仿宋_GB2312"/>
          <w:color w:val="auto"/>
          <w:sz w:val="32"/>
          <w:szCs w:val="32"/>
        </w:rPr>
        <w:t>，</w:t>
      </w:r>
      <w:r>
        <w:rPr>
          <w:rFonts w:hint="eastAsia" w:ascii="仿宋_GB2312"/>
          <w:color w:val="auto"/>
          <w:sz w:val="32"/>
          <w:szCs w:val="32"/>
        </w:rPr>
        <w:t>我</w:t>
      </w:r>
      <w:r>
        <w:rPr>
          <w:rFonts w:hint="eastAsia" w:ascii="仿宋_GB2312"/>
          <w:color w:val="auto"/>
          <w:sz w:val="32"/>
          <w:szCs w:val="32"/>
          <w:lang w:val="en-US" w:eastAsia="zh-CN"/>
        </w:rPr>
        <w:t>市</w:t>
      </w:r>
      <w:r>
        <w:rPr>
          <w:rFonts w:ascii="仿宋_GB2312"/>
          <w:color w:val="auto"/>
          <w:sz w:val="32"/>
          <w:szCs w:val="32"/>
        </w:rPr>
        <w:t>切实强化</w:t>
      </w:r>
      <w:r>
        <w:rPr>
          <w:rFonts w:hint="eastAsia" w:ascii="仿宋_GB2312"/>
          <w:color w:val="auto"/>
          <w:sz w:val="32"/>
          <w:szCs w:val="32"/>
        </w:rPr>
        <w:t>项目</w:t>
      </w:r>
      <w:r>
        <w:rPr>
          <w:rFonts w:ascii="仿宋_GB2312"/>
          <w:color w:val="auto"/>
          <w:sz w:val="32"/>
          <w:szCs w:val="32"/>
        </w:rPr>
        <w:t>资金的管理，确保资金合理、高效</w:t>
      </w:r>
      <w:r>
        <w:rPr>
          <w:rFonts w:hint="eastAsia" w:ascii="仿宋_GB2312"/>
          <w:color w:val="auto"/>
          <w:sz w:val="32"/>
          <w:szCs w:val="32"/>
          <w:lang w:eastAsia="zh-CN"/>
        </w:rPr>
        <w:t>的</w:t>
      </w:r>
      <w:r>
        <w:rPr>
          <w:rFonts w:ascii="仿宋_GB2312"/>
          <w:color w:val="auto"/>
          <w:sz w:val="32"/>
          <w:szCs w:val="32"/>
        </w:rPr>
        <w:t>使用，未发生资金截留、挤占、挪用等现</w:t>
      </w:r>
      <w:r>
        <w:rPr>
          <w:rFonts w:hint="eastAsia" w:ascii="仿宋_GB2312"/>
          <w:color w:val="auto"/>
          <w:sz w:val="32"/>
          <w:szCs w:val="32"/>
        </w:rPr>
        <w:t>象。在项目实施过程中，</w:t>
      </w:r>
      <w:r>
        <w:rPr>
          <w:rFonts w:ascii="仿宋_GB2312"/>
          <w:color w:val="auto"/>
          <w:sz w:val="32"/>
          <w:szCs w:val="32"/>
        </w:rPr>
        <w:t>督促项目单位严格执行项目预算，加快项目实施进度，确保项目如期完成。</w:t>
      </w:r>
      <w:r>
        <w:rPr>
          <w:rFonts w:hint="eastAsia" w:ascii="仿宋_GB2312"/>
          <w:color w:val="auto"/>
          <w:sz w:val="32"/>
          <w:szCs w:val="32"/>
          <w:lang w:eastAsia="zh-CN"/>
        </w:rPr>
        <w:t>项目实施中涉及政府采购的，严格执行政府采购有关法律法规及制度。项目实施完成后，及时办理验收和结算手续，同时办理固定资产入账手续。</w:t>
      </w:r>
    </w:p>
    <w:p>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总体绩效目标完成情况分析</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rPr>
        <w:t>按照年</w:t>
      </w:r>
      <w:r>
        <w:rPr>
          <w:rFonts w:hint="eastAsia" w:ascii="仿宋_GB2312" w:hAnsi="仿宋_GB2312" w:eastAsia="仿宋_GB2312" w:cs="仿宋_GB2312"/>
          <w:color w:val="auto"/>
          <w:sz w:val="32"/>
          <w:szCs w:val="32"/>
          <w:highlight w:val="none"/>
        </w:rPr>
        <w:t>度总体绩效目标情况看，</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color w:val="auto"/>
          <w:sz w:val="32"/>
          <w:szCs w:val="32"/>
          <w:highlight w:val="none"/>
          <w:lang w:val="en-US" w:eastAsia="zh-CN"/>
        </w:rPr>
        <w:t>市本级</w:t>
      </w:r>
      <w:r>
        <w:rPr>
          <w:rFonts w:hint="eastAsia" w:ascii="仿宋_GB2312" w:hAnsi="仿宋_GB2312" w:eastAsia="仿宋_GB2312" w:cs="仿宋_GB2312"/>
          <w:color w:val="auto"/>
          <w:sz w:val="32"/>
          <w:szCs w:val="32"/>
          <w:highlight w:val="none"/>
        </w:rPr>
        <w:t>学前三年毛入园率达到</w:t>
      </w:r>
      <w:r>
        <w:rPr>
          <w:rFonts w:hint="eastAsia" w:ascii="仿宋_GB2312" w:hAnsi="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普惠性学前教育资源进一步扩大，</w:t>
      </w:r>
      <w:r>
        <w:rPr>
          <w:rFonts w:hint="eastAsia" w:ascii="仿宋_GB2312" w:hAnsi="仿宋_GB2312" w:eastAsia="仿宋_GB2312" w:cs="仿宋_GB2312"/>
          <w:color w:val="auto"/>
          <w:sz w:val="32"/>
          <w:szCs w:val="32"/>
          <w:highlight w:val="none"/>
        </w:rPr>
        <w:t>学前教育资助范围进一步扩大，</w:t>
      </w:r>
      <w:r>
        <w:rPr>
          <w:rFonts w:hint="eastAsia" w:ascii="仿宋_GB2312" w:hAnsi="仿宋_GB2312" w:eastAsia="仿宋_GB2312" w:cs="仿宋_GB2312"/>
          <w:color w:val="auto"/>
          <w:sz w:val="32"/>
          <w:szCs w:val="32"/>
          <w:highlight w:val="none"/>
          <w:lang w:eastAsia="zh-CN"/>
        </w:rPr>
        <w:t>普惠性幼儿园覆盖率达到</w:t>
      </w:r>
      <w:r>
        <w:rPr>
          <w:rFonts w:hint="default" w:ascii="仿宋_GB2312" w:hAnsi="仿宋_GB2312" w:cs="仿宋_GB2312"/>
          <w:color w:val="auto"/>
          <w:sz w:val="32"/>
          <w:szCs w:val="32"/>
          <w:highlight w:val="none"/>
          <w:lang w:val="en" w:eastAsia="zh-CN"/>
        </w:rPr>
        <w:t>92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公办园在园幼儿占</w:t>
      </w:r>
      <w:r>
        <w:rPr>
          <w:rFonts w:hint="eastAsia" w:ascii="仿宋_GB2312" w:hAnsi="仿宋_GB2312" w:eastAsia="仿宋_GB2312" w:cs="仿宋_GB2312"/>
          <w:color w:val="auto"/>
          <w:sz w:val="32"/>
          <w:szCs w:val="32"/>
          <w:highlight w:val="none"/>
          <w:lang w:val="en-US" w:eastAsia="zh-CN"/>
        </w:rPr>
        <w:t>比不低于50%</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校</w:t>
      </w:r>
      <w:r>
        <w:rPr>
          <w:rFonts w:hint="eastAsia" w:ascii="仿宋_GB2312" w:hAnsi="仿宋_GB2312" w:eastAsia="仿宋_GB2312" w:cs="仿宋_GB2312"/>
          <w:color w:val="auto"/>
          <w:sz w:val="32"/>
          <w:szCs w:val="32"/>
          <w:highlight w:val="none"/>
        </w:rPr>
        <w:t>使用专项资金购置了生活设施设备、仪器设备和图</w:t>
      </w:r>
      <w:r>
        <w:rPr>
          <w:rFonts w:hint="eastAsia" w:ascii="仿宋_GB2312" w:hAnsi="仿宋_GB2312" w:cs="仿宋_GB2312"/>
          <w:color w:val="auto"/>
          <w:sz w:val="32"/>
          <w:szCs w:val="32"/>
          <w:highlight w:val="none"/>
        </w:rPr>
        <w:t>书等，改善了办园条件，满足了疫情防控的需要</w:t>
      </w:r>
      <w:r>
        <w:rPr>
          <w:rFonts w:hint="eastAsia" w:ascii="仿宋_GB2312" w:hAnsi="仿宋_GB2312" w:cs="仿宋_GB2312"/>
          <w:color w:val="auto"/>
          <w:sz w:val="32"/>
          <w:szCs w:val="32"/>
          <w:highlight w:val="none"/>
          <w:lang w:eastAsia="zh-CN"/>
        </w:rPr>
        <w:t>，基本达到全年绩效目标</w:t>
      </w:r>
      <w:r>
        <w:rPr>
          <w:rFonts w:hint="eastAsia" w:ascii="仿宋_GB2312" w:hAnsi="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）绩效指标完成情况分析</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仿宋_GB2312" w:eastAsia="仿宋_GB2312"/>
          <w:b/>
          <w:color w:val="auto"/>
          <w:sz w:val="32"/>
          <w:szCs w:val="32"/>
          <w:lang w:eastAsia="zh-CN"/>
        </w:rPr>
      </w:pPr>
      <w:r>
        <w:rPr>
          <w:rFonts w:hint="eastAsia" w:ascii="仿宋_GB2312"/>
          <w:b/>
          <w:color w:val="auto"/>
          <w:sz w:val="32"/>
          <w:szCs w:val="32"/>
        </w:rPr>
        <w:t>1.产出指标完成情况分析。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sz w:val="32"/>
          <w:szCs w:val="32"/>
          <w:lang w:val="en-US"/>
        </w:rPr>
      </w:pPr>
      <w:r>
        <w:rPr>
          <w:rFonts w:hint="eastAsia" w:ascii="仿宋_GB2312"/>
          <w:sz w:val="32"/>
          <w:szCs w:val="32"/>
          <w:lang w:val="en-US" w:eastAsia="zh-CN"/>
        </w:rPr>
        <w:t>2024</w:t>
      </w:r>
      <w:r>
        <w:rPr>
          <w:rFonts w:hint="eastAsia" w:ascii="仿宋_GB2312"/>
          <w:sz w:val="32"/>
          <w:szCs w:val="32"/>
        </w:rPr>
        <w:t>年，</w:t>
      </w:r>
      <w:r>
        <w:rPr>
          <w:rFonts w:hint="eastAsia" w:ascii="仿宋_GB2312"/>
          <w:sz w:val="32"/>
          <w:szCs w:val="32"/>
          <w:lang w:eastAsia="zh-CN"/>
        </w:rPr>
        <w:t>我</w:t>
      </w:r>
      <w:r>
        <w:rPr>
          <w:rFonts w:hint="eastAsia" w:ascii="仿宋_GB2312"/>
          <w:sz w:val="32"/>
          <w:szCs w:val="32"/>
          <w:lang w:val="en-US" w:eastAsia="zh-CN"/>
        </w:rPr>
        <w:t>市</w:t>
      </w:r>
      <w:r>
        <w:rPr>
          <w:rFonts w:hint="eastAsia" w:ascii="仿宋_GB2312"/>
          <w:sz w:val="32"/>
          <w:szCs w:val="32"/>
        </w:rPr>
        <w:t>学前三年毛入园率</w:t>
      </w:r>
      <w:r>
        <w:rPr>
          <w:rFonts w:hint="eastAsia" w:ascii="仿宋_GB2312"/>
          <w:sz w:val="32"/>
          <w:szCs w:val="32"/>
          <w:lang w:val="en-US" w:eastAsia="zh-CN"/>
        </w:rPr>
        <w:t>99%以上</w:t>
      </w:r>
      <w:r>
        <w:rPr>
          <w:rFonts w:hint="eastAsia" w:ascii="仿宋_GB2312"/>
          <w:sz w:val="32"/>
          <w:szCs w:val="32"/>
        </w:rPr>
        <w:t>，普惠性</w:t>
      </w:r>
      <w:r>
        <w:rPr>
          <w:rFonts w:hint="eastAsia" w:ascii="仿宋_GB2312"/>
          <w:sz w:val="32"/>
          <w:szCs w:val="32"/>
          <w:lang w:eastAsia="zh-CN"/>
        </w:rPr>
        <w:t>学前教育</w:t>
      </w:r>
      <w:r>
        <w:rPr>
          <w:rFonts w:hint="eastAsia" w:ascii="仿宋_GB2312"/>
          <w:sz w:val="32"/>
          <w:szCs w:val="32"/>
        </w:rPr>
        <w:t>覆盖率</w:t>
      </w:r>
      <w:r>
        <w:rPr>
          <w:rFonts w:hint="eastAsia" w:ascii="仿宋_GB2312"/>
          <w:sz w:val="32"/>
          <w:szCs w:val="32"/>
          <w:lang w:val="en-US" w:eastAsia="zh-CN"/>
        </w:rPr>
        <w:t>92%以上</w:t>
      </w:r>
      <w:r>
        <w:rPr>
          <w:rFonts w:hint="eastAsia" w:ascii="仿宋_GB2312"/>
          <w:sz w:val="32"/>
          <w:szCs w:val="32"/>
        </w:rPr>
        <w:t>，</w:t>
      </w:r>
      <w:r>
        <w:rPr>
          <w:rFonts w:hint="eastAsia" w:ascii="仿宋_GB2312"/>
          <w:sz w:val="32"/>
          <w:szCs w:val="32"/>
          <w:lang w:val="en-US" w:eastAsia="zh-CN"/>
        </w:rPr>
        <w:t>符合条件的家庭经济困难幼儿享受幼儿资助政策的比例为100%，新建、改扩建项目质量达标率100%，设备采购质量合格率100%。</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b/>
          <w:color w:val="auto"/>
          <w:sz w:val="32"/>
          <w:szCs w:val="32"/>
          <w:highlight w:val="none"/>
        </w:rPr>
      </w:pPr>
      <w:r>
        <w:rPr>
          <w:rFonts w:hint="eastAsia" w:ascii="仿宋_GB2312"/>
          <w:b/>
          <w:color w:val="auto"/>
          <w:sz w:val="32"/>
          <w:szCs w:val="32"/>
          <w:highlight w:val="none"/>
        </w:rPr>
        <w:t>2.效益指标完成情况分析。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sz w:val="32"/>
          <w:szCs w:val="32"/>
        </w:rPr>
      </w:pPr>
      <w:r>
        <w:rPr>
          <w:rFonts w:hint="eastAsia" w:ascii="仿宋_GB2312"/>
          <w:sz w:val="32"/>
          <w:szCs w:val="32"/>
          <w:lang w:val="en-US" w:eastAsia="zh-CN"/>
        </w:rPr>
        <w:t>2023年普惠性幼儿园31所，清理了办园质量不高、办园不规范普惠性幼儿园2所，2024年普惠性幼儿园29所，公办园在园幼儿占比</w:t>
      </w:r>
      <w:r>
        <w:rPr>
          <w:rFonts w:hint="default" w:ascii="仿宋_GB2312"/>
          <w:sz w:val="32"/>
          <w:szCs w:val="32"/>
          <w:lang w:val="en" w:eastAsia="zh-CN"/>
        </w:rPr>
        <w:t>61.4</w:t>
      </w:r>
      <w:r>
        <w:rPr>
          <w:rFonts w:hint="eastAsia" w:ascii="仿宋_GB2312"/>
          <w:sz w:val="32"/>
          <w:szCs w:val="32"/>
          <w:lang w:val="en-US" w:eastAsia="zh-CN"/>
        </w:rPr>
        <w:t>%，超额完成省定指标52%。引导地方提高学前教育普惠保障水平完成情况为好，档次为93%。2024年组织开展年普惠性民办幼儿园</w:t>
      </w:r>
      <w:r>
        <w:rPr>
          <w:rFonts w:hint="eastAsia" w:ascii="仿宋_GB2312"/>
          <w:sz w:val="32"/>
          <w:szCs w:val="32"/>
        </w:rPr>
        <w:t>认定</w:t>
      </w:r>
      <w:r>
        <w:rPr>
          <w:rFonts w:hint="eastAsia" w:ascii="仿宋_GB2312"/>
          <w:sz w:val="32"/>
          <w:szCs w:val="32"/>
          <w:lang w:eastAsia="zh-CN"/>
        </w:rPr>
        <w:t>和幼儿园分类评估工作，组织市级专家队伍对本年度申报的二类园开展实地抽评，坚持以评促建、以评促优，推动全市学前教育优质均衡发展。</w:t>
      </w:r>
      <w:r>
        <w:rPr>
          <w:rFonts w:hint="eastAsia" w:ascii="仿宋_GB2312"/>
          <w:sz w:val="32"/>
          <w:szCs w:val="32"/>
          <w:lang w:val="en-US" w:eastAsia="zh-CN"/>
        </w:rPr>
        <w:t>通过学前教育专项资金的支持，我市普惠性幼儿园办学条件得到了极大改善，添置的玩教具和图书等满足了学前教育教学需要，积极引导地方扩大普惠性学前教育资源持续增加，引导地方提高学前教育普惠保障水平有效提高，</w:t>
      </w:r>
      <w:r>
        <w:rPr>
          <w:rFonts w:hint="eastAsia" w:ascii="仿宋_GB2312"/>
          <w:sz w:val="32"/>
          <w:szCs w:val="32"/>
          <w:lang w:eastAsia="zh-CN"/>
        </w:rPr>
        <w:t>我市</w:t>
      </w:r>
      <w:r>
        <w:rPr>
          <w:rFonts w:hint="eastAsia" w:ascii="仿宋_GB2312"/>
          <w:sz w:val="32"/>
          <w:szCs w:val="32"/>
        </w:rPr>
        <w:t>学前教育普及普惠水平全省领先。</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ascii="仿宋_GB2312"/>
          <w:b/>
          <w:color w:val="auto"/>
          <w:sz w:val="32"/>
          <w:szCs w:val="32"/>
        </w:rPr>
      </w:pPr>
      <w:r>
        <w:rPr>
          <w:rFonts w:hint="eastAsia" w:ascii="仿宋_GB2312"/>
          <w:b/>
          <w:color w:val="auto"/>
          <w:sz w:val="32"/>
          <w:szCs w:val="32"/>
        </w:rPr>
        <w:t>3.满意度指标完成情况分析。</w:t>
      </w:r>
    </w:p>
    <w:p>
      <w:pPr>
        <w:pStyle w:val="12"/>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各地各校通过发放调查问卷、电话访问等方式进行满意度调查，幼儿园和老师满意度达到</w:t>
      </w:r>
      <w:r>
        <w:rPr>
          <w:rFonts w:hint="eastAsia" w:ascii="仿宋_GB2312" w:eastAsia="仿宋_GB2312"/>
          <w:sz w:val="32"/>
          <w:szCs w:val="32"/>
          <w:lang w:val="en-US" w:eastAsia="zh-CN"/>
        </w:rPr>
        <w:t>95%，</w:t>
      </w:r>
      <w:r>
        <w:rPr>
          <w:rFonts w:hint="eastAsia" w:ascii="仿宋_GB2312" w:eastAsia="仿宋_GB2312"/>
          <w:sz w:val="32"/>
          <w:szCs w:val="32"/>
        </w:rPr>
        <w:t>家长满意度达到9</w:t>
      </w: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Cs/>
          <w:color w:val="auto"/>
          <w:sz w:val="32"/>
          <w:szCs w:val="32"/>
        </w:rPr>
      </w:pPr>
      <w:r>
        <w:rPr>
          <w:rFonts w:hint="eastAsia" w:ascii="黑体" w:hAnsi="黑体" w:eastAsia="黑体" w:cs="黑体"/>
          <w:color w:val="auto"/>
          <w:sz w:val="32"/>
          <w:szCs w:val="32"/>
        </w:rPr>
        <w:t>偏离绩效目标的原因和下一步</w:t>
      </w:r>
      <w:r>
        <w:rPr>
          <w:rFonts w:hint="eastAsia" w:ascii="黑体" w:hAnsi="黑体" w:eastAsia="黑体" w:cs="黑体"/>
          <w:bCs/>
          <w:color w:val="auto"/>
          <w:sz w:val="32"/>
          <w:szCs w:val="32"/>
        </w:rPr>
        <w:t>改进措施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bCs/>
          <w:color w:val="auto"/>
          <w:sz w:val="32"/>
          <w:szCs w:val="32"/>
          <w:lang w:eastAsia="zh-CN"/>
        </w:rPr>
      </w:pPr>
      <w:r>
        <w:rPr>
          <w:rFonts w:hint="eastAsia" w:ascii="仿宋_GB2312" w:hAnsi="仿宋_GB2312" w:cs="仿宋_GB2312"/>
          <w:bCs/>
          <w:color w:val="auto"/>
          <w:sz w:val="32"/>
          <w:szCs w:val="32"/>
          <w:lang w:eastAsia="zh-CN"/>
        </w:rPr>
        <w:t>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四、绩效自评结果拟应用和公开情况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bCs/>
          <w:color w:val="auto"/>
          <w:sz w:val="32"/>
          <w:szCs w:val="32"/>
        </w:rPr>
      </w:pPr>
      <w:r>
        <w:rPr>
          <w:rFonts w:hint="eastAsia" w:ascii="仿宋_GB2312" w:hAnsi="仿宋_GB2312" w:cs="仿宋_GB2312"/>
          <w:bCs/>
          <w:color w:val="auto"/>
          <w:sz w:val="32"/>
          <w:szCs w:val="32"/>
        </w:rPr>
        <w:t>根据绩效评价结果，反映出专项资金使用管理过程中的问题，仍需进一步细化和明确。通过本项目的绩效评价工作，总结出了一些项目绩效管理经验，对于以后相似项目的管理工作起到一定的借鉴作用。</w:t>
      </w:r>
      <w:r>
        <w:rPr>
          <w:rFonts w:hint="eastAsia" w:ascii="仿宋_GB2312" w:hAnsi="仿宋_GB2312" w:cs="仿宋_GB2312"/>
          <w:bCs/>
          <w:color w:val="auto"/>
          <w:sz w:val="32"/>
          <w:szCs w:val="32"/>
          <w:lang w:eastAsia="zh-CN"/>
        </w:rPr>
        <w:t>我市将按照有关要求将全部自评结果向社会公开，接受社会监督。</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textAlignment w:val="auto"/>
        <w:rPr>
          <w:rFonts w:hint="default" w:ascii="黑体" w:hAnsi="黑体" w:eastAsia="黑体" w:cs="黑体"/>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color w:val="auto"/>
          <w:sz w:val="32"/>
          <w:szCs w:val="32"/>
        </w:rPr>
      </w:pPr>
      <w:bookmarkStart w:id="0" w:name="_GoBack"/>
      <w:bookmarkEnd w:id="0"/>
    </w:p>
    <w:sectPr>
      <w:footerReference r:id="rId3" w:type="default"/>
      <w:pgSz w:w="11906" w:h="16838"/>
      <w:pgMar w:top="1440" w:right="1531" w:bottom="1440"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B4F43"/>
    <w:multiLevelType w:val="singleLevel"/>
    <w:tmpl w:val="8A6B4F43"/>
    <w:lvl w:ilvl="0" w:tentative="0">
      <w:start w:val="2"/>
      <w:numFmt w:val="chineseCounting"/>
      <w:suff w:val="nothing"/>
      <w:lvlText w:val="%1、"/>
      <w:lvlJc w:val="left"/>
      <w:rPr>
        <w:rFonts w:hint="eastAsia"/>
      </w:rPr>
    </w:lvl>
  </w:abstractNum>
  <w:abstractNum w:abstractNumId="1">
    <w:nsid w:val="ACFF4F81"/>
    <w:multiLevelType w:val="singleLevel"/>
    <w:tmpl w:val="ACFF4F81"/>
    <w:lvl w:ilvl="0" w:tentative="0">
      <w:start w:val="2"/>
      <w:numFmt w:val="chineseCounting"/>
      <w:suff w:val="nothing"/>
      <w:lvlText w:val="（%1）"/>
      <w:lvlJc w:val="left"/>
      <w:rPr>
        <w:rFonts w:hint="eastAsia"/>
      </w:rPr>
    </w:lvl>
  </w:abstractNum>
  <w:abstractNum w:abstractNumId="2">
    <w:nsid w:val="4F21BC74"/>
    <w:multiLevelType w:val="singleLevel"/>
    <w:tmpl w:val="4F21BC74"/>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50"/>
  <w:drawingGridVerticalSpacing w:val="58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04C57"/>
    <w:rsid w:val="000101E1"/>
    <w:rsid w:val="00051710"/>
    <w:rsid w:val="00070325"/>
    <w:rsid w:val="000732DA"/>
    <w:rsid w:val="00075CDC"/>
    <w:rsid w:val="0007732C"/>
    <w:rsid w:val="0009004D"/>
    <w:rsid w:val="00091D53"/>
    <w:rsid w:val="000A0A8C"/>
    <w:rsid w:val="000B1464"/>
    <w:rsid w:val="000B1E8F"/>
    <w:rsid w:val="000C74AC"/>
    <w:rsid w:val="000D4FCB"/>
    <w:rsid w:val="000E00B9"/>
    <w:rsid w:val="000F7513"/>
    <w:rsid w:val="00103D16"/>
    <w:rsid w:val="00123199"/>
    <w:rsid w:val="001401C1"/>
    <w:rsid w:val="00164D84"/>
    <w:rsid w:val="001659A4"/>
    <w:rsid w:val="001820EF"/>
    <w:rsid w:val="00183EA5"/>
    <w:rsid w:val="001878F2"/>
    <w:rsid w:val="001C2325"/>
    <w:rsid w:val="001D3A8D"/>
    <w:rsid w:val="001D7AA7"/>
    <w:rsid w:val="0021024A"/>
    <w:rsid w:val="002146D4"/>
    <w:rsid w:val="00214EFA"/>
    <w:rsid w:val="00223448"/>
    <w:rsid w:val="0022356A"/>
    <w:rsid w:val="002332FA"/>
    <w:rsid w:val="00237C6A"/>
    <w:rsid w:val="00240D24"/>
    <w:rsid w:val="00246907"/>
    <w:rsid w:val="00250053"/>
    <w:rsid w:val="00253EDA"/>
    <w:rsid w:val="00264EF6"/>
    <w:rsid w:val="00272445"/>
    <w:rsid w:val="00277560"/>
    <w:rsid w:val="0028029C"/>
    <w:rsid w:val="002B13A9"/>
    <w:rsid w:val="002B14BF"/>
    <w:rsid w:val="002B561E"/>
    <w:rsid w:val="002C109D"/>
    <w:rsid w:val="002E3DD0"/>
    <w:rsid w:val="002E6D8D"/>
    <w:rsid w:val="002F6705"/>
    <w:rsid w:val="003002AC"/>
    <w:rsid w:val="00301FC0"/>
    <w:rsid w:val="00307EB3"/>
    <w:rsid w:val="0031231E"/>
    <w:rsid w:val="00312DD0"/>
    <w:rsid w:val="0031620A"/>
    <w:rsid w:val="003173F7"/>
    <w:rsid w:val="0033401E"/>
    <w:rsid w:val="00336C60"/>
    <w:rsid w:val="0035261B"/>
    <w:rsid w:val="00363E46"/>
    <w:rsid w:val="00387DD5"/>
    <w:rsid w:val="003B1C3A"/>
    <w:rsid w:val="003C6374"/>
    <w:rsid w:val="003E690D"/>
    <w:rsid w:val="00413958"/>
    <w:rsid w:val="00415CB5"/>
    <w:rsid w:val="00457ECB"/>
    <w:rsid w:val="004621AD"/>
    <w:rsid w:val="00493012"/>
    <w:rsid w:val="00493686"/>
    <w:rsid w:val="0049688D"/>
    <w:rsid w:val="004B1A79"/>
    <w:rsid w:val="004B1C24"/>
    <w:rsid w:val="004B40CE"/>
    <w:rsid w:val="004D4804"/>
    <w:rsid w:val="004E0045"/>
    <w:rsid w:val="00510E8C"/>
    <w:rsid w:val="00511DAB"/>
    <w:rsid w:val="0053257D"/>
    <w:rsid w:val="00537A01"/>
    <w:rsid w:val="00537A15"/>
    <w:rsid w:val="005409F0"/>
    <w:rsid w:val="005472AF"/>
    <w:rsid w:val="00551819"/>
    <w:rsid w:val="00552314"/>
    <w:rsid w:val="005548B5"/>
    <w:rsid w:val="005572EA"/>
    <w:rsid w:val="00584373"/>
    <w:rsid w:val="005A6E47"/>
    <w:rsid w:val="005B1B66"/>
    <w:rsid w:val="005D364D"/>
    <w:rsid w:val="005D3AE1"/>
    <w:rsid w:val="005D50A2"/>
    <w:rsid w:val="005D7CC3"/>
    <w:rsid w:val="005E4E6A"/>
    <w:rsid w:val="0064274E"/>
    <w:rsid w:val="00665185"/>
    <w:rsid w:val="00667E6C"/>
    <w:rsid w:val="00676278"/>
    <w:rsid w:val="006A7190"/>
    <w:rsid w:val="006D53AF"/>
    <w:rsid w:val="006D72B7"/>
    <w:rsid w:val="00707880"/>
    <w:rsid w:val="00724A6B"/>
    <w:rsid w:val="00744DA0"/>
    <w:rsid w:val="0074646B"/>
    <w:rsid w:val="00747B58"/>
    <w:rsid w:val="00754C4B"/>
    <w:rsid w:val="0076736A"/>
    <w:rsid w:val="00786849"/>
    <w:rsid w:val="00790CBC"/>
    <w:rsid w:val="0079202A"/>
    <w:rsid w:val="007A4DAB"/>
    <w:rsid w:val="007B5F05"/>
    <w:rsid w:val="007D08A3"/>
    <w:rsid w:val="007F1502"/>
    <w:rsid w:val="007F6133"/>
    <w:rsid w:val="00815A90"/>
    <w:rsid w:val="008B0C02"/>
    <w:rsid w:val="008C22CD"/>
    <w:rsid w:val="008C720D"/>
    <w:rsid w:val="008C7E8C"/>
    <w:rsid w:val="008E3484"/>
    <w:rsid w:val="008E69BB"/>
    <w:rsid w:val="008F483D"/>
    <w:rsid w:val="00905BC3"/>
    <w:rsid w:val="009061B6"/>
    <w:rsid w:val="00943757"/>
    <w:rsid w:val="00944A15"/>
    <w:rsid w:val="009472F6"/>
    <w:rsid w:val="009522BE"/>
    <w:rsid w:val="00996A1E"/>
    <w:rsid w:val="009A4ECF"/>
    <w:rsid w:val="009A5634"/>
    <w:rsid w:val="009A7935"/>
    <w:rsid w:val="009B399F"/>
    <w:rsid w:val="009C0019"/>
    <w:rsid w:val="009D2AC5"/>
    <w:rsid w:val="009E2483"/>
    <w:rsid w:val="009E2673"/>
    <w:rsid w:val="009E5370"/>
    <w:rsid w:val="00A03AF7"/>
    <w:rsid w:val="00A05DBE"/>
    <w:rsid w:val="00A1203A"/>
    <w:rsid w:val="00A25EA0"/>
    <w:rsid w:val="00A707DB"/>
    <w:rsid w:val="00A73076"/>
    <w:rsid w:val="00A74B1C"/>
    <w:rsid w:val="00AA3B3D"/>
    <w:rsid w:val="00AB0B15"/>
    <w:rsid w:val="00AC2CA7"/>
    <w:rsid w:val="00AC7C12"/>
    <w:rsid w:val="00AE52CE"/>
    <w:rsid w:val="00AE6CA7"/>
    <w:rsid w:val="00AF1A77"/>
    <w:rsid w:val="00AF42BC"/>
    <w:rsid w:val="00B22CBB"/>
    <w:rsid w:val="00B350EA"/>
    <w:rsid w:val="00B3587C"/>
    <w:rsid w:val="00B40A00"/>
    <w:rsid w:val="00B6263F"/>
    <w:rsid w:val="00B71CA3"/>
    <w:rsid w:val="00B738AA"/>
    <w:rsid w:val="00BB57D5"/>
    <w:rsid w:val="00BB5E41"/>
    <w:rsid w:val="00BC22F5"/>
    <w:rsid w:val="00BE4ED9"/>
    <w:rsid w:val="00BE58CF"/>
    <w:rsid w:val="00BF60A9"/>
    <w:rsid w:val="00BF6DA1"/>
    <w:rsid w:val="00C112A3"/>
    <w:rsid w:val="00C1177E"/>
    <w:rsid w:val="00C41F39"/>
    <w:rsid w:val="00C42FC1"/>
    <w:rsid w:val="00C56741"/>
    <w:rsid w:val="00C63310"/>
    <w:rsid w:val="00C90A5F"/>
    <w:rsid w:val="00CA1B94"/>
    <w:rsid w:val="00CA3342"/>
    <w:rsid w:val="00CA6616"/>
    <w:rsid w:val="00CB28C3"/>
    <w:rsid w:val="00CB57B0"/>
    <w:rsid w:val="00CC302A"/>
    <w:rsid w:val="00CE0419"/>
    <w:rsid w:val="00D1215A"/>
    <w:rsid w:val="00D16A96"/>
    <w:rsid w:val="00D17A3C"/>
    <w:rsid w:val="00D215EC"/>
    <w:rsid w:val="00D43B47"/>
    <w:rsid w:val="00D57870"/>
    <w:rsid w:val="00D63908"/>
    <w:rsid w:val="00DB44C6"/>
    <w:rsid w:val="00DB4F33"/>
    <w:rsid w:val="00DB5E1D"/>
    <w:rsid w:val="00DC279B"/>
    <w:rsid w:val="00DC6AA1"/>
    <w:rsid w:val="00DD3301"/>
    <w:rsid w:val="00DE4A4A"/>
    <w:rsid w:val="00DF26D0"/>
    <w:rsid w:val="00E02D03"/>
    <w:rsid w:val="00E03A12"/>
    <w:rsid w:val="00E1585F"/>
    <w:rsid w:val="00E1715D"/>
    <w:rsid w:val="00E2447D"/>
    <w:rsid w:val="00E33E01"/>
    <w:rsid w:val="00E4332E"/>
    <w:rsid w:val="00E47500"/>
    <w:rsid w:val="00E47AA7"/>
    <w:rsid w:val="00E5642D"/>
    <w:rsid w:val="00E76E17"/>
    <w:rsid w:val="00E9088C"/>
    <w:rsid w:val="00EE5963"/>
    <w:rsid w:val="00F0705E"/>
    <w:rsid w:val="00F16999"/>
    <w:rsid w:val="00F33609"/>
    <w:rsid w:val="00F3792E"/>
    <w:rsid w:val="00F45D2F"/>
    <w:rsid w:val="00F55825"/>
    <w:rsid w:val="00F56CB2"/>
    <w:rsid w:val="00F57F82"/>
    <w:rsid w:val="00F64782"/>
    <w:rsid w:val="00F64D03"/>
    <w:rsid w:val="00F66296"/>
    <w:rsid w:val="00F70AA6"/>
    <w:rsid w:val="00F7434A"/>
    <w:rsid w:val="00F7734B"/>
    <w:rsid w:val="00F85E78"/>
    <w:rsid w:val="00F92394"/>
    <w:rsid w:val="00F9299F"/>
    <w:rsid w:val="00FA1855"/>
    <w:rsid w:val="00FA357A"/>
    <w:rsid w:val="00FA5702"/>
    <w:rsid w:val="00FB07AC"/>
    <w:rsid w:val="00FB165E"/>
    <w:rsid w:val="00FD1BC2"/>
    <w:rsid w:val="00FD4C8A"/>
    <w:rsid w:val="00FD5CB6"/>
    <w:rsid w:val="037D0BC8"/>
    <w:rsid w:val="04B77A94"/>
    <w:rsid w:val="04E91E33"/>
    <w:rsid w:val="0845082D"/>
    <w:rsid w:val="0879209E"/>
    <w:rsid w:val="09E965F2"/>
    <w:rsid w:val="0BB3F468"/>
    <w:rsid w:val="0C855104"/>
    <w:rsid w:val="0DF5DB4A"/>
    <w:rsid w:val="0EBD1631"/>
    <w:rsid w:val="0EF728B5"/>
    <w:rsid w:val="0F1EC447"/>
    <w:rsid w:val="0F8403F4"/>
    <w:rsid w:val="0FBE5AC2"/>
    <w:rsid w:val="0FBFCB5E"/>
    <w:rsid w:val="139840D3"/>
    <w:rsid w:val="13E35712"/>
    <w:rsid w:val="143E091F"/>
    <w:rsid w:val="14865FC8"/>
    <w:rsid w:val="150C2DB0"/>
    <w:rsid w:val="1ABFA0EC"/>
    <w:rsid w:val="1B7DBA1E"/>
    <w:rsid w:val="1BFE5938"/>
    <w:rsid w:val="1DFBAB91"/>
    <w:rsid w:val="1E761F05"/>
    <w:rsid w:val="1F7F1776"/>
    <w:rsid w:val="1FC7205C"/>
    <w:rsid w:val="1FDF931B"/>
    <w:rsid w:val="1FED9DF2"/>
    <w:rsid w:val="21F05B2E"/>
    <w:rsid w:val="228B3D05"/>
    <w:rsid w:val="234E3484"/>
    <w:rsid w:val="248F0FBC"/>
    <w:rsid w:val="26E2AEB0"/>
    <w:rsid w:val="2A251272"/>
    <w:rsid w:val="2E973424"/>
    <w:rsid w:val="2EFBB435"/>
    <w:rsid w:val="2F6E7972"/>
    <w:rsid w:val="2F6F6A71"/>
    <w:rsid w:val="2F9FC711"/>
    <w:rsid w:val="2FEF4E60"/>
    <w:rsid w:val="2FFE4E27"/>
    <w:rsid w:val="32B93997"/>
    <w:rsid w:val="34CC21D4"/>
    <w:rsid w:val="36AC64D9"/>
    <w:rsid w:val="37EED8F0"/>
    <w:rsid w:val="37FF7E9F"/>
    <w:rsid w:val="38EF7AD8"/>
    <w:rsid w:val="397B306E"/>
    <w:rsid w:val="3BFF8968"/>
    <w:rsid w:val="3D9FBBC7"/>
    <w:rsid w:val="3DFB71E3"/>
    <w:rsid w:val="3E1672E6"/>
    <w:rsid w:val="3E2F6C06"/>
    <w:rsid w:val="3ED75D4F"/>
    <w:rsid w:val="3F7E5337"/>
    <w:rsid w:val="3F9E59A7"/>
    <w:rsid w:val="3FBC883C"/>
    <w:rsid w:val="3FBED3CE"/>
    <w:rsid w:val="3FD55E65"/>
    <w:rsid w:val="3FDECFDB"/>
    <w:rsid w:val="3FDF4941"/>
    <w:rsid w:val="3FFBAEB3"/>
    <w:rsid w:val="3FFFA286"/>
    <w:rsid w:val="415F08D8"/>
    <w:rsid w:val="419FAAB2"/>
    <w:rsid w:val="44E2230F"/>
    <w:rsid w:val="46235C8A"/>
    <w:rsid w:val="48B51347"/>
    <w:rsid w:val="4A55216A"/>
    <w:rsid w:val="4DA7478A"/>
    <w:rsid w:val="4DBF3CC3"/>
    <w:rsid w:val="4E7677A7"/>
    <w:rsid w:val="4EE5EB61"/>
    <w:rsid w:val="4F5E501E"/>
    <w:rsid w:val="4F73EB7F"/>
    <w:rsid w:val="4FB7A037"/>
    <w:rsid w:val="4FE0696A"/>
    <w:rsid w:val="503B0653"/>
    <w:rsid w:val="50752228"/>
    <w:rsid w:val="509A3020"/>
    <w:rsid w:val="50A67E80"/>
    <w:rsid w:val="50AE307B"/>
    <w:rsid w:val="51D87DC2"/>
    <w:rsid w:val="51F07D1F"/>
    <w:rsid w:val="553FC560"/>
    <w:rsid w:val="55673508"/>
    <w:rsid w:val="56FFE125"/>
    <w:rsid w:val="57BFC768"/>
    <w:rsid w:val="57D7AF33"/>
    <w:rsid w:val="57DFEE0A"/>
    <w:rsid w:val="59595A6F"/>
    <w:rsid w:val="599330CA"/>
    <w:rsid w:val="5BBF630A"/>
    <w:rsid w:val="5BFB4979"/>
    <w:rsid w:val="5BFD770C"/>
    <w:rsid w:val="5C23101F"/>
    <w:rsid w:val="5CD7BE58"/>
    <w:rsid w:val="5D8D2060"/>
    <w:rsid w:val="5DC7AB55"/>
    <w:rsid w:val="5DFB33EE"/>
    <w:rsid w:val="5DFBFCC2"/>
    <w:rsid w:val="5ED7E63B"/>
    <w:rsid w:val="5F77A4A7"/>
    <w:rsid w:val="5F77EE73"/>
    <w:rsid w:val="5FCA0497"/>
    <w:rsid w:val="5FD6EE11"/>
    <w:rsid w:val="5FF7AD7A"/>
    <w:rsid w:val="5FFB0E04"/>
    <w:rsid w:val="5FFF3750"/>
    <w:rsid w:val="5FFFD7C7"/>
    <w:rsid w:val="60D5009F"/>
    <w:rsid w:val="626C553A"/>
    <w:rsid w:val="63D76876"/>
    <w:rsid w:val="63EB7DA5"/>
    <w:rsid w:val="64BA2203"/>
    <w:rsid w:val="64FFF3F4"/>
    <w:rsid w:val="660721C9"/>
    <w:rsid w:val="661E6C75"/>
    <w:rsid w:val="66C469C5"/>
    <w:rsid w:val="66E997D9"/>
    <w:rsid w:val="67131EC0"/>
    <w:rsid w:val="673A8E08"/>
    <w:rsid w:val="67F75FF5"/>
    <w:rsid w:val="681D4831"/>
    <w:rsid w:val="692E4B19"/>
    <w:rsid w:val="69513EF7"/>
    <w:rsid w:val="6A5A90C6"/>
    <w:rsid w:val="6A9FD3FE"/>
    <w:rsid w:val="6B0E346E"/>
    <w:rsid w:val="6B3D71E4"/>
    <w:rsid w:val="6BF3256F"/>
    <w:rsid w:val="6BF82F7B"/>
    <w:rsid w:val="6CBE4687"/>
    <w:rsid w:val="6CE7018A"/>
    <w:rsid w:val="6CEF5105"/>
    <w:rsid w:val="6E3E3F2D"/>
    <w:rsid w:val="6EF5D8F3"/>
    <w:rsid w:val="6F5FAAEB"/>
    <w:rsid w:val="6F6223E8"/>
    <w:rsid w:val="6F9BC1EA"/>
    <w:rsid w:val="6FAFA122"/>
    <w:rsid w:val="6FBD0FB7"/>
    <w:rsid w:val="6FD82894"/>
    <w:rsid w:val="6FDBA3DB"/>
    <w:rsid w:val="6FFF4E74"/>
    <w:rsid w:val="701C0AB2"/>
    <w:rsid w:val="715B2F02"/>
    <w:rsid w:val="71CD74BD"/>
    <w:rsid w:val="71E919FF"/>
    <w:rsid w:val="72032BB8"/>
    <w:rsid w:val="72B25583"/>
    <w:rsid w:val="73477135"/>
    <w:rsid w:val="737D68CE"/>
    <w:rsid w:val="737DFFC9"/>
    <w:rsid w:val="73C7E0E7"/>
    <w:rsid w:val="73DBAB8E"/>
    <w:rsid w:val="73E73078"/>
    <w:rsid w:val="752C6E56"/>
    <w:rsid w:val="757DE146"/>
    <w:rsid w:val="76A548F2"/>
    <w:rsid w:val="76F83B74"/>
    <w:rsid w:val="7765772E"/>
    <w:rsid w:val="777BE4B9"/>
    <w:rsid w:val="77867685"/>
    <w:rsid w:val="77AB6DF9"/>
    <w:rsid w:val="77DBDD24"/>
    <w:rsid w:val="77DD2E51"/>
    <w:rsid w:val="77EF5CA8"/>
    <w:rsid w:val="77FAA690"/>
    <w:rsid w:val="77FF5F43"/>
    <w:rsid w:val="781F36B6"/>
    <w:rsid w:val="78C64C09"/>
    <w:rsid w:val="78D9C86D"/>
    <w:rsid w:val="790627AD"/>
    <w:rsid w:val="797F3FFC"/>
    <w:rsid w:val="79D229D4"/>
    <w:rsid w:val="79EF5CDF"/>
    <w:rsid w:val="79FB329A"/>
    <w:rsid w:val="7ADC59FA"/>
    <w:rsid w:val="7AFEF7A1"/>
    <w:rsid w:val="7B37708A"/>
    <w:rsid w:val="7B579BDE"/>
    <w:rsid w:val="7BCD6083"/>
    <w:rsid w:val="7BDFAD09"/>
    <w:rsid w:val="7BEB0F5B"/>
    <w:rsid w:val="7BF45EC0"/>
    <w:rsid w:val="7BF7F5D4"/>
    <w:rsid w:val="7BF9381C"/>
    <w:rsid w:val="7BFF356E"/>
    <w:rsid w:val="7BFF71C5"/>
    <w:rsid w:val="7BFFDFAF"/>
    <w:rsid w:val="7C3D7D10"/>
    <w:rsid w:val="7C603DCA"/>
    <w:rsid w:val="7CEFB86B"/>
    <w:rsid w:val="7D379126"/>
    <w:rsid w:val="7DBD75FA"/>
    <w:rsid w:val="7DDD794F"/>
    <w:rsid w:val="7DF110F6"/>
    <w:rsid w:val="7E0F309B"/>
    <w:rsid w:val="7EBF9ABB"/>
    <w:rsid w:val="7EF20F75"/>
    <w:rsid w:val="7EF726EE"/>
    <w:rsid w:val="7EFFBACF"/>
    <w:rsid w:val="7F6A2E73"/>
    <w:rsid w:val="7F7706FA"/>
    <w:rsid w:val="7F7F5A61"/>
    <w:rsid w:val="7FB6D6CC"/>
    <w:rsid w:val="7FBE3649"/>
    <w:rsid w:val="7FC18043"/>
    <w:rsid w:val="7FD67432"/>
    <w:rsid w:val="7FD754D7"/>
    <w:rsid w:val="7FD7DE97"/>
    <w:rsid w:val="7FDF8345"/>
    <w:rsid w:val="7FE7001C"/>
    <w:rsid w:val="7FEF7B4F"/>
    <w:rsid w:val="7FF7AD49"/>
    <w:rsid w:val="7FF7FC3F"/>
    <w:rsid w:val="7FFA609B"/>
    <w:rsid w:val="7FFB6FEC"/>
    <w:rsid w:val="7FFB7B47"/>
    <w:rsid w:val="7FFBECCF"/>
    <w:rsid w:val="7FFF5CF4"/>
    <w:rsid w:val="837FC85A"/>
    <w:rsid w:val="8FDF914C"/>
    <w:rsid w:val="8FF32683"/>
    <w:rsid w:val="95F55F13"/>
    <w:rsid w:val="96FC7FDB"/>
    <w:rsid w:val="97DF6D98"/>
    <w:rsid w:val="9B7D7859"/>
    <w:rsid w:val="9DFE68BD"/>
    <w:rsid w:val="A7FD9CAB"/>
    <w:rsid w:val="ABEDC49D"/>
    <w:rsid w:val="ACCB6D7D"/>
    <w:rsid w:val="ADFFC3AA"/>
    <w:rsid w:val="AE3F24B5"/>
    <w:rsid w:val="AF9F9988"/>
    <w:rsid w:val="AFED99EC"/>
    <w:rsid w:val="AFF5B65E"/>
    <w:rsid w:val="AFF77F47"/>
    <w:rsid w:val="AFF9F63A"/>
    <w:rsid w:val="AFFB7903"/>
    <w:rsid w:val="AFFBA856"/>
    <w:rsid w:val="B27FD25A"/>
    <w:rsid w:val="B2B76497"/>
    <w:rsid w:val="B4DE402C"/>
    <w:rsid w:val="B4DFAF4C"/>
    <w:rsid w:val="B7BC6C77"/>
    <w:rsid w:val="B7BF75AA"/>
    <w:rsid w:val="B7BFDCC2"/>
    <w:rsid w:val="B9B9F410"/>
    <w:rsid w:val="B9BB9F1C"/>
    <w:rsid w:val="B9FFFB23"/>
    <w:rsid w:val="BAF689A1"/>
    <w:rsid w:val="BAFF5CDA"/>
    <w:rsid w:val="BBAF94D2"/>
    <w:rsid w:val="BBFF6033"/>
    <w:rsid w:val="BD994ED2"/>
    <w:rsid w:val="BDFF7450"/>
    <w:rsid w:val="BEEF996B"/>
    <w:rsid w:val="BEFF68B5"/>
    <w:rsid w:val="BEFFC4EF"/>
    <w:rsid w:val="C0FEB893"/>
    <w:rsid w:val="C5B64BE7"/>
    <w:rsid w:val="C7F9EF66"/>
    <w:rsid w:val="CDEE3B24"/>
    <w:rsid w:val="CF9FFE91"/>
    <w:rsid w:val="CFB41700"/>
    <w:rsid w:val="CFD9B066"/>
    <w:rsid w:val="CFE762BB"/>
    <w:rsid w:val="D1FF092B"/>
    <w:rsid w:val="D47F7D6A"/>
    <w:rsid w:val="D6EF2B66"/>
    <w:rsid w:val="D75FF9A8"/>
    <w:rsid w:val="D7C713BF"/>
    <w:rsid w:val="D7FB3720"/>
    <w:rsid w:val="D86DF635"/>
    <w:rsid w:val="D8ED78CE"/>
    <w:rsid w:val="DA45EB34"/>
    <w:rsid w:val="DADDDA37"/>
    <w:rsid w:val="DAFE5FA3"/>
    <w:rsid w:val="DBB6C278"/>
    <w:rsid w:val="DC6F462C"/>
    <w:rsid w:val="DD2D7BBC"/>
    <w:rsid w:val="DD7A4B6F"/>
    <w:rsid w:val="DDFE03F9"/>
    <w:rsid w:val="DE6B7599"/>
    <w:rsid w:val="DEA5D2CB"/>
    <w:rsid w:val="DEFB6F5B"/>
    <w:rsid w:val="DF8C9FF9"/>
    <w:rsid w:val="DFB4073B"/>
    <w:rsid w:val="DFC6649E"/>
    <w:rsid w:val="DFDF6243"/>
    <w:rsid w:val="DFEFF297"/>
    <w:rsid w:val="DFFC014A"/>
    <w:rsid w:val="DFFDAC3B"/>
    <w:rsid w:val="DFFF751F"/>
    <w:rsid w:val="DFFFD133"/>
    <w:rsid w:val="E6BD1F96"/>
    <w:rsid w:val="E7BB4C70"/>
    <w:rsid w:val="E7F2CD77"/>
    <w:rsid w:val="E7F7248E"/>
    <w:rsid w:val="E7FAE69B"/>
    <w:rsid w:val="E7FB8DEB"/>
    <w:rsid w:val="E8DD5DF4"/>
    <w:rsid w:val="E9ED848C"/>
    <w:rsid w:val="EAA75BB3"/>
    <w:rsid w:val="EAAF8189"/>
    <w:rsid w:val="EADFDA2B"/>
    <w:rsid w:val="EAFFFAF2"/>
    <w:rsid w:val="EBBF2E2B"/>
    <w:rsid w:val="EBF993FC"/>
    <w:rsid w:val="EDBF3D77"/>
    <w:rsid w:val="EEF787F3"/>
    <w:rsid w:val="EF2BB5E7"/>
    <w:rsid w:val="EF4F887B"/>
    <w:rsid w:val="EF73BE95"/>
    <w:rsid w:val="EF9FFB3C"/>
    <w:rsid w:val="EFDDB099"/>
    <w:rsid w:val="EFDF22D8"/>
    <w:rsid w:val="EFE226D4"/>
    <w:rsid w:val="EFEF84DA"/>
    <w:rsid w:val="F1FEA054"/>
    <w:rsid w:val="F3CFE1B6"/>
    <w:rsid w:val="F4F969A1"/>
    <w:rsid w:val="F5E7BC15"/>
    <w:rsid w:val="F5F6B308"/>
    <w:rsid w:val="F6DF24EE"/>
    <w:rsid w:val="F75B18A9"/>
    <w:rsid w:val="F77F493D"/>
    <w:rsid w:val="F7BFCB4F"/>
    <w:rsid w:val="F7DB9347"/>
    <w:rsid w:val="F7E68522"/>
    <w:rsid w:val="F7EC845C"/>
    <w:rsid w:val="F7ECEDF7"/>
    <w:rsid w:val="F7F674E6"/>
    <w:rsid w:val="F7FB1685"/>
    <w:rsid w:val="F7FB5DBB"/>
    <w:rsid w:val="F7FE18F4"/>
    <w:rsid w:val="F7FE5F53"/>
    <w:rsid w:val="F937DBE6"/>
    <w:rsid w:val="F9EA64AE"/>
    <w:rsid w:val="F9FF9D24"/>
    <w:rsid w:val="FA9B4C96"/>
    <w:rsid w:val="FABF948A"/>
    <w:rsid w:val="FB71B13B"/>
    <w:rsid w:val="FBDB99B7"/>
    <w:rsid w:val="FBF45818"/>
    <w:rsid w:val="FBFB8F6E"/>
    <w:rsid w:val="FBFBDC14"/>
    <w:rsid w:val="FBFF23F7"/>
    <w:rsid w:val="FC1F0F59"/>
    <w:rsid w:val="FC6F6F3F"/>
    <w:rsid w:val="FCBEDA76"/>
    <w:rsid w:val="FCF92D08"/>
    <w:rsid w:val="FD5EBF20"/>
    <w:rsid w:val="FD5ECFCE"/>
    <w:rsid w:val="FD7561EE"/>
    <w:rsid w:val="FD758C91"/>
    <w:rsid w:val="FD7FE4E9"/>
    <w:rsid w:val="FD8F66ED"/>
    <w:rsid w:val="FDACAA80"/>
    <w:rsid w:val="FDBDEDDE"/>
    <w:rsid w:val="FDBF5D66"/>
    <w:rsid w:val="FDBF9A3B"/>
    <w:rsid w:val="FDDD38A9"/>
    <w:rsid w:val="FDF644C5"/>
    <w:rsid w:val="FE8F24D8"/>
    <w:rsid w:val="FEB57AAE"/>
    <w:rsid w:val="FEF5309E"/>
    <w:rsid w:val="FEFB15A2"/>
    <w:rsid w:val="FEFCA806"/>
    <w:rsid w:val="FEFF609A"/>
    <w:rsid w:val="FF4C344E"/>
    <w:rsid w:val="FF668292"/>
    <w:rsid w:val="FF7C2B69"/>
    <w:rsid w:val="FF7FAE3B"/>
    <w:rsid w:val="FF9B2C2B"/>
    <w:rsid w:val="FF9F76AA"/>
    <w:rsid w:val="FF9FBB4A"/>
    <w:rsid w:val="FFB994E4"/>
    <w:rsid w:val="FFBB753B"/>
    <w:rsid w:val="FFBF00F2"/>
    <w:rsid w:val="FFBF2732"/>
    <w:rsid w:val="FFCED08B"/>
    <w:rsid w:val="FFDE6DE3"/>
    <w:rsid w:val="FFDEA7B6"/>
    <w:rsid w:val="FFEDD91A"/>
    <w:rsid w:val="FFF15439"/>
    <w:rsid w:val="FFF76BAE"/>
    <w:rsid w:val="FFF9484C"/>
    <w:rsid w:val="FFFB583C"/>
    <w:rsid w:val="FFFF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character" w:customStyle="1" w:styleId="9">
    <w:name w:val="页脚 Char"/>
    <w:basedOn w:val="8"/>
    <w:link w:val="3"/>
    <w:qFormat/>
    <w:uiPriority w:val="0"/>
    <w:rPr>
      <w:rFonts w:eastAsia="仿宋_GB2312"/>
      <w:kern w:val="2"/>
      <w:sz w:val="18"/>
      <w:szCs w:val="18"/>
    </w:rPr>
  </w:style>
  <w:style w:type="character" w:customStyle="1" w:styleId="10">
    <w:name w:val="页眉 Char"/>
    <w:basedOn w:val="8"/>
    <w:link w:val="4"/>
    <w:qFormat/>
    <w:uiPriority w:val="0"/>
    <w:rPr>
      <w:rFonts w:eastAsia="仿宋_GB2312"/>
      <w:kern w:val="2"/>
      <w:sz w:val="18"/>
      <w:szCs w:val="18"/>
    </w:rPr>
  </w:style>
  <w:style w:type="character" w:customStyle="1" w:styleId="11">
    <w:name w:val="批注框文本 Char"/>
    <w:basedOn w:val="8"/>
    <w:link w:val="2"/>
    <w:qFormat/>
    <w:uiPriority w:val="0"/>
    <w:rPr>
      <w:rFonts w:eastAsia="仿宋_GB2312"/>
      <w:kern w:val="2"/>
      <w:sz w:val="18"/>
      <w:szCs w:val="18"/>
    </w:rPr>
  </w:style>
  <w:style w:type="paragraph" w:customStyle="1" w:styleId="12">
    <w:name w:val="p0"/>
    <w:basedOn w:val="1"/>
    <w:qFormat/>
    <w:uiPriority w:val="0"/>
    <w:pPr>
      <w:widowControl/>
    </w:pPr>
    <w:rPr>
      <w:rFonts w:eastAsia="宋体"/>
      <w:kern w:val="0"/>
      <w:szCs w:val="30"/>
    </w:rPr>
  </w:style>
  <w:style w:type="paragraph" w:customStyle="1" w:styleId="13">
    <w:name w:val="闻政正文"/>
    <w:basedOn w:val="1"/>
    <w:qFormat/>
    <w:uiPriority w:val="0"/>
    <w:pPr>
      <w:spacing w:line="500" w:lineRule="exact"/>
      <w:ind w:firstLine="56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330</Words>
  <Characters>1884</Characters>
  <Lines>15</Lines>
  <Paragraphs>4</Paragraphs>
  <TotalTime>13</TotalTime>
  <ScaleCrop>false</ScaleCrop>
  <LinksUpToDate>false</LinksUpToDate>
  <CharactersWithSpaces>2210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2019-06-10T16:09:00Z</dcterms:created>
  <dc:creator>lhn</dc:creator>
  <cp:lastModifiedBy>uos</cp:lastModifiedBy>
  <cp:lastPrinted>2025-03-16T07:33:00Z</cp:lastPrinted>
  <dcterms:modified xsi:type="dcterms:W3CDTF">2025-08-05T09:03:45Z</dcterms:modified>
  <dc:title>财政支出绩效评价报告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A084464838454BD6AB03AEB76617B36F</vt:lpwstr>
  </property>
</Properties>
</file>