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00" w:lineRule="exact"/>
        <w:ind w:firstLine="640" w:firstLineChars="0"/>
        <w:jc w:val="center"/>
        <w:textAlignment w:val="auto"/>
        <w:rPr>
          <w:rFonts w:hint="eastAsia" w:ascii="方正小标宋简体" w:hAnsi="Calibri" w:eastAsia="方正小标宋简体" w:cs="Times New Roman"/>
          <w:bCs/>
          <w:snapToGrid/>
          <w:color w:val="000000"/>
          <w:w w:val="100"/>
          <w:kern w:val="2"/>
          <w:sz w:val="44"/>
          <w:szCs w:val="44"/>
          <w:lang w:eastAsia="zh-CN"/>
        </w:rPr>
      </w:pPr>
      <w:r>
        <w:rPr>
          <w:rFonts w:hint="eastAsia" w:ascii="方正小标宋简体" w:hAnsi="Calibri" w:eastAsia="方正小标宋简体" w:cs="Times New Roman"/>
          <w:bCs/>
          <w:snapToGrid/>
          <w:color w:val="000000"/>
          <w:w w:val="100"/>
          <w:kern w:val="2"/>
          <w:sz w:val="44"/>
          <w:szCs w:val="44"/>
          <w:lang w:eastAsia="zh-CN"/>
        </w:rPr>
        <w:t>伊春市农业产业化市级重点龙头企业</w:t>
      </w:r>
    </w:p>
    <w:p>
      <w:pPr>
        <w:keepNext w:val="0"/>
        <w:keepLines w:val="0"/>
        <w:pageBreakBefore w:val="0"/>
        <w:widowControl w:val="0"/>
        <w:kinsoku/>
        <w:wordWrap/>
        <w:overflowPunct/>
        <w:topLinePunct w:val="0"/>
        <w:autoSpaceDE/>
        <w:autoSpaceDN/>
        <w:bidi w:val="0"/>
        <w:adjustRightInd/>
        <w:snapToGrid/>
        <w:spacing w:after="0" w:line="700" w:lineRule="exact"/>
        <w:ind w:firstLine="640" w:firstLineChars="0"/>
        <w:jc w:val="center"/>
        <w:textAlignment w:val="auto"/>
        <w:rPr>
          <w:rFonts w:hint="default" w:ascii="方正小标宋简体" w:hAnsi="Calibri" w:eastAsia="方正小标宋简体" w:cs="Times New Roman"/>
          <w:bCs/>
          <w:snapToGrid/>
          <w:color w:val="000000"/>
          <w:w w:val="100"/>
          <w:kern w:val="2"/>
          <w:sz w:val="44"/>
          <w:szCs w:val="44"/>
          <w:lang w:val="en" w:eastAsia="zh-CN"/>
        </w:rPr>
      </w:pPr>
      <w:r>
        <w:rPr>
          <w:rFonts w:hint="eastAsia" w:ascii="方正小标宋简体" w:hAnsi="Calibri" w:eastAsia="方正小标宋简体" w:cs="Times New Roman"/>
          <w:bCs/>
          <w:snapToGrid/>
          <w:color w:val="000000"/>
          <w:w w:val="100"/>
          <w:kern w:val="2"/>
          <w:sz w:val="44"/>
          <w:szCs w:val="44"/>
          <w:lang w:eastAsia="zh-CN"/>
        </w:rPr>
        <w:t>认定和运行监测管理办法</w:t>
      </w:r>
    </w:p>
    <w:p>
      <w:pPr>
        <w:keepNext w:val="0"/>
        <w:keepLines w:val="0"/>
        <w:pageBreakBefore w:val="0"/>
        <w:widowControl w:val="0"/>
        <w:kinsoku/>
        <w:wordWrap/>
        <w:overflowPunct/>
        <w:topLinePunct w:val="0"/>
        <w:autoSpaceDE/>
        <w:autoSpaceDN/>
        <w:bidi w:val="0"/>
        <w:adjustRightInd/>
        <w:snapToGrid/>
        <w:spacing w:after="0" w:line="580" w:lineRule="exact"/>
        <w:ind w:left="0" w:firstLine="0" w:firstLineChars="0"/>
        <w:jc w:val="center"/>
        <w:textAlignment w:val="auto"/>
        <w:rPr>
          <w:rFonts w:hint="eastAsia" w:ascii="方正小标宋简体" w:hAnsi="Calibri" w:eastAsia="方正小标宋简体" w:cs="Times New Roman"/>
          <w:bCs/>
          <w:snapToGrid/>
          <w:color w:val="000000"/>
          <w:w w:val="100"/>
          <w:kern w:val="2"/>
          <w:sz w:val="44"/>
          <w:szCs w:val="44"/>
          <w:lang w:eastAsia="zh-CN"/>
        </w:rPr>
      </w:pPr>
      <w:bookmarkStart w:id="0" w:name="_GoBack"/>
      <w:bookmarkEnd w:id="0"/>
    </w:p>
    <w:p>
      <w:pPr>
        <w:keepNext w:val="0"/>
        <w:keepLines w:val="0"/>
        <w:pageBreakBefore w:val="0"/>
        <w:widowControl/>
        <w:tabs>
          <w:tab w:val="left" w:pos="4660"/>
        </w:tabs>
        <w:kinsoku/>
        <w:wordWrap/>
        <w:overflowPunct/>
        <w:topLinePunct w:val="0"/>
        <w:autoSpaceDE w:val="0"/>
        <w:autoSpaceDN w:val="0"/>
        <w:bidi w:val="0"/>
        <w:adjustRightInd/>
        <w:snapToGrid/>
        <w:spacing w:after="0" w:line="580" w:lineRule="exact"/>
        <w:ind w:left="0" w:right="0" w:firstLine="0"/>
        <w:jc w:val="center"/>
        <w:textAlignment w:val="auto"/>
        <w:rPr>
          <w:rFonts w:hint="eastAsia" w:ascii="黑体" w:hAnsi="黑体" w:eastAsia="黑体"/>
          <w:b w:val="0"/>
          <w:i w:val="0"/>
          <w:color w:val="000000"/>
          <w:sz w:val="31"/>
          <w:lang w:eastAsia="zh-CN"/>
        </w:rPr>
      </w:pPr>
      <w:r>
        <w:rPr>
          <w:rFonts w:hint="eastAsia" w:ascii="黑体" w:hAnsi="黑体" w:eastAsia="黑体"/>
          <w:b w:val="0"/>
          <w:i w:val="0"/>
          <w:color w:val="000000"/>
          <w:sz w:val="31"/>
          <w:lang w:eastAsia="zh-CN"/>
        </w:rPr>
        <w:t>第一章</w:t>
      </w:r>
      <w:r>
        <w:rPr>
          <w:rFonts w:hint="eastAsia" w:ascii="黑体" w:hAnsi="黑体" w:eastAsia="黑体"/>
          <w:b w:val="0"/>
          <w:i w:val="0"/>
          <w:color w:val="000000"/>
          <w:sz w:val="31"/>
          <w:lang w:val="en-US" w:eastAsia="zh-CN"/>
        </w:rPr>
        <w:t xml:space="preserve">  </w:t>
      </w:r>
      <w:r>
        <w:rPr>
          <w:rFonts w:hint="eastAsia" w:ascii="黑体" w:hAnsi="黑体" w:eastAsia="黑体"/>
          <w:b w:val="0"/>
          <w:i w:val="0"/>
          <w:color w:val="000000"/>
          <w:sz w:val="31"/>
          <w:lang w:eastAsia="zh-CN"/>
        </w:rPr>
        <w:t>总</w:t>
      </w:r>
      <w:r>
        <w:rPr>
          <w:rFonts w:hint="default" w:ascii="黑体" w:hAnsi="黑体" w:eastAsia="黑体"/>
          <w:b w:val="0"/>
          <w:i w:val="0"/>
          <w:color w:val="000000"/>
          <w:sz w:val="31"/>
          <w:lang w:val="en" w:eastAsia="zh-CN"/>
        </w:rPr>
        <w:t xml:space="preserve"> </w:t>
      </w:r>
      <w:r>
        <w:rPr>
          <w:rFonts w:hint="eastAsia" w:ascii="黑体" w:hAnsi="黑体" w:eastAsia="黑体"/>
          <w:b w:val="0"/>
          <w:i w:val="0"/>
          <w:color w:val="000000"/>
          <w:sz w:val="31"/>
          <w:lang w:eastAsia="zh-CN"/>
        </w:rPr>
        <w:t>则</w:t>
      </w:r>
    </w:p>
    <w:p>
      <w:pPr>
        <w:keepNext w:val="0"/>
        <w:keepLines w:val="0"/>
        <w:pageBreakBefore w:val="0"/>
        <w:widowControl/>
        <w:tabs>
          <w:tab w:val="left" w:pos="640"/>
          <w:tab w:val="left" w:pos="1920"/>
        </w:tabs>
        <w:kinsoku/>
        <w:wordWrap/>
        <w:overflowPunct w:val="0"/>
        <w:topLinePunct w:val="0"/>
        <w:autoSpaceDE/>
        <w:autoSpaceDN/>
        <w:bidi w:val="0"/>
        <w:adjustRightInd/>
        <w:snapToGrid/>
        <w:spacing w:after="0" w:line="580" w:lineRule="exact"/>
        <w:ind w:left="0" w:right="0" w:firstLine="640" w:firstLineChars="200"/>
        <w:jc w:val="both"/>
        <w:textAlignment w:val="auto"/>
        <w:rPr>
          <w:rFonts w:hint="eastAsia" w:ascii="楷体" w:hAnsi="楷体" w:eastAsia="楷体" w:cs="楷体"/>
          <w:snapToGrid w:val="0"/>
          <w:color w:val="000000"/>
          <w:sz w:val="32"/>
          <w:szCs w:val="32"/>
          <w:lang w:eastAsia="zh-CN"/>
        </w:rPr>
      </w:pPr>
    </w:p>
    <w:p>
      <w:pPr>
        <w:keepNext w:val="0"/>
        <w:keepLines w:val="0"/>
        <w:pageBreakBefore w:val="0"/>
        <w:widowControl/>
        <w:tabs>
          <w:tab w:val="left" w:pos="640"/>
          <w:tab w:val="left" w:pos="1920"/>
        </w:tabs>
        <w:kinsoku/>
        <w:wordWrap/>
        <w:overflowPunct w:val="0"/>
        <w:topLinePunct w:val="0"/>
        <w:autoSpaceDE/>
        <w:autoSpaceDN/>
        <w:bidi w:val="0"/>
        <w:adjustRightInd/>
        <w:snapToGrid/>
        <w:spacing w:after="0" w:line="580" w:lineRule="exact"/>
        <w:ind w:left="0" w:righ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楷体" w:hAnsi="楷体" w:eastAsia="楷体" w:cs="楷体"/>
          <w:snapToGrid w:val="0"/>
          <w:color w:val="000000"/>
          <w:sz w:val="32"/>
          <w:szCs w:val="32"/>
          <w:lang w:eastAsia="zh-CN"/>
        </w:rPr>
        <w:t>第一条</w:t>
      </w:r>
      <w:r>
        <w:rPr>
          <w:rFonts w:hint="eastAsia" w:ascii="楷体" w:hAnsi="楷体" w:eastAsia="楷体" w:cs="楷体"/>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lang w:eastAsia="zh-CN"/>
        </w:rPr>
        <w:t>为规范我市农业产业化市级重点龙头企业（以下简称“市级重点龙头企业”）的认定和运行监测工作，加强对市级重点龙头企业的指导与扶持，培育壮大龙头企业，增强辐射带动能力，特制定本办法。</w:t>
      </w:r>
    </w:p>
    <w:p>
      <w:pPr>
        <w:keepNext w:val="0"/>
        <w:keepLines w:val="0"/>
        <w:pageBreakBefore w:val="0"/>
        <w:widowControl/>
        <w:tabs>
          <w:tab w:val="left" w:pos="640"/>
          <w:tab w:val="left" w:pos="1920"/>
        </w:tabs>
        <w:kinsoku/>
        <w:wordWrap/>
        <w:overflowPunct w:val="0"/>
        <w:topLinePunct w:val="0"/>
        <w:autoSpaceDE/>
        <w:autoSpaceDN/>
        <w:bidi w:val="0"/>
        <w:adjustRightInd/>
        <w:snapToGrid/>
        <w:spacing w:after="0" w:line="580" w:lineRule="exact"/>
        <w:ind w:left="0" w:righ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楷体" w:hAnsi="楷体" w:eastAsia="楷体" w:cs="楷体"/>
          <w:snapToGrid w:val="0"/>
          <w:color w:val="000000"/>
          <w:sz w:val="32"/>
          <w:szCs w:val="32"/>
          <w:lang w:eastAsia="zh-CN"/>
        </w:rPr>
        <w:t xml:space="preserve">第二条 </w:t>
      </w:r>
      <w:r>
        <w:rPr>
          <w:rFonts w:hint="eastAsia" w:ascii="仿宋_GB2312" w:hAnsi="仿宋_GB2312" w:eastAsia="仿宋_GB2312" w:cs="仿宋_GB2312"/>
          <w:snapToGrid w:val="0"/>
          <w:color w:val="000000"/>
          <w:sz w:val="32"/>
          <w:szCs w:val="32"/>
          <w:lang w:eastAsia="zh-CN"/>
        </w:rPr>
        <w:t>市级重点龙头企业是指以农产品生产、加工或流通为主业，通过合同、合作、股份合作等利益联结方式直接与农户紧密联系，使农产品生产、加工、销售有机结合、相互促进，使农村一二三产业深度融合发展，在规模和经营指标上达到规定标准，经征求市农业产业化联席会议成员单位意见，无异议后，由市农业产业化联席会议认定的农业企业。</w:t>
      </w:r>
    </w:p>
    <w:p>
      <w:pPr>
        <w:keepNext w:val="0"/>
        <w:keepLines w:val="0"/>
        <w:pageBreakBefore w:val="0"/>
        <w:widowControl/>
        <w:tabs>
          <w:tab w:val="left" w:pos="640"/>
          <w:tab w:val="left" w:pos="1960"/>
        </w:tabs>
        <w:kinsoku/>
        <w:wordWrap/>
        <w:overflowPunct w:val="0"/>
        <w:topLinePunct w:val="0"/>
        <w:autoSpaceDE/>
        <w:autoSpaceDN/>
        <w:bidi w:val="0"/>
        <w:adjustRightInd/>
        <w:snapToGrid/>
        <w:spacing w:after="0" w:line="580" w:lineRule="exact"/>
        <w:ind w:left="0" w:righ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楷体" w:hAnsi="楷体" w:eastAsia="楷体" w:cs="楷体"/>
          <w:snapToGrid w:val="0"/>
          <w:color w:val="000000"/>
          <w:sz w:val="32"/>
          <w:szCs w:val="32"/>
          <w:lang w:eastAsia="zh-CN"/>
        </w:rPr>
        <w:t xml:space="preserve">第三条 </w:t>
      </w:r>
      <w:r>
        <w:rPr>
          <w:rFonts w:hint="eastAsia" w:ascii="仿宋_GB2312" w:hAnsi="仿宋_GB2312" w:eastAsia="仿宋_GB2312" w:cs="仿宋_GB2312"/>
          <w:snapToGrid w:val="0"/>
          <w:color w:val="000000"/>
          <w:sz w:val="32"/>
          <w:szCs w:val="32"/>
          <w:lang w:eastAsia="zh-CN"/>
        </w:rPr>
        <w:t>市级重点龙头企业的认定和运行监测工作要遵循市场经济规律，实行动态管理，引进竞争淘汰机制，坚持公开、公平、公正原则，不干预企业经营自主权。</w:t>
      </w:r>
    </w:p>
    <w:p>
      <w:pPr>
        <w:keepNext w:val="0"/>
        <w:keepLines w:val="0"/>
        <w:pageBreakBefore w:val="0"/>
        <w:widowControl/>
        <w:tabs>
          <w:tab w:val="left" w:pos="640"/>
          <w:tab w:val="left" w:pos="1960"/>
        </w:tabs>
        <w:kinsoku/>
        <w:wordWrap/>
        <w:overflowPunct w:val="0"/>
        <w:topLinePunct w:val="0"/>
        <w:autoSpaceDE/>
        <w:autoSpaceDN/>
        <w:bidi w:val="0"/>
        <w:adjustRightInd/>
        <w:snapToGrid/>
        <w:spacing w:after="0" w:line="580" w:lineRule="exact"/>
        <w:ind w:left="0" w:righ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楷体" w:hAnsi="楷体" w:eastAsia="楷体" w:cs="楷体"/>
          <w:snapToGrid w:val="0"/>
          <w:color w:val="000000"/>
          <w:sz w:val="32"/>
          <w:szCs w:val="32"/>
          <w:lang w:eastAsia="zh-CN"/>
        </w:rPr>
        <w:t xml:space="preserve">第四条 </w:t>
      </w:r>
      <w:r>
        <w:rPr>
          <w:rFonts w:hint="eastAsia" w:ascii="仿宋_GB2312" w:hAnsi="仿宋_GB2312" w:eastAsia="仿宋_GB2312" w:cs="仿宋_GB2312"/>
          <w:snapToGrid w:val="0"/>
          <w:color w:val="000000"/>
          <w:sz w:val="32"/>
          <w:szCs w:val="32"/>
          <w:lang w:eastAsia="zh-CN"/>
        </w:rPr>
        <w:t>市级重点龙头企业认定和运行监测工作采取评审制，原则上每两年开展一次。根据全市龙头企业发展实际需求，可适当增加认定次数。</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楷体" w:hAnsi="楷体" w:eastAsia="楷体" w:cs="楷体"/>
          <w:snapToGrid w:val="0"/>
          <w:color w:val="000000"/>
          <w:sz w:val="32"/>
          <w:szCs w:val="32"/>
          <w:lang w:eastAsia="zh-CN"/>
        </w:rPr>
        <w:t xml:space="preserve">第五条 </w:t>
      </w:r>
      <w:r>
        <w:rPr>
          <w:rFonts w:hint="eastAsia" w:ascii="仿宋_GB2312" w:hAnsi="仿宋_GB2312" w:eastAsia="仿宋_GB2312" w:cs="仿宋_GB2312"/>
          <w:snapToGrid w:val="0"/>
          <w:color w:val="000000"/>
          <w:sz w:val="32"/>
          <w:szCs w:val="32"/>
          <w:lang w:eastAsia="zh-CN"/>
        </w:rPr>
        <w:t>凡申报或已被认定为市级重点龙头企业的企业，适用本办法。</w:t>
      </w:r>
    </w:p>
    <w:p>
      <w:pPr>
        <w:keepNext w:val="0"/>
        <w:keepLines w:val="0"/>
        <w:pageBreakBefore w:val="0"/>
        <w:widowControl/>
        <w:tabs>
          <w:tab w:val="left" w:pos="4660"/>
        </w:tabs>
        <w:kinsoku/>
        <w:wordWrap/>
        <w:overflowPunct w:val="0"/>
        <w:topLinePunct w:val="0"/>
        <w:autoSpaceDE/>
        <w:autoSpaceDN/>
        <w:bidi w:val="0"/>
        <w:adjustRightInd/>
        <w:snapToGrid/>
        <w:spacing w:after="0" w:line="580" w:lineRule="exact"/>
        <w:ind w:left="0" w:right="0" w:firstLine="0"/>
        <w:jc w:val="center"/>
        <w:textAlignment w:val="auto"/>
        <w:rPr>
          <w:rFonts w:hint="eastAsia" w:ascii="黑体" w:hAnsi="黑体" w:eastAsia="黑体"/>
          <w:b w:val="0"/>
          <w:i w:val="0"/>
          <w:color w:val="000000"/>
          <w:sz w:val="31"/>
          <w:lang w:eastAsia="zh-CN"/>
        </w:rPr>
      </w:pPr>
      <w:r>
        <w:rPr>
          <w:rFonts w:hint="eastAsia" w:ascii="黑体" w:hAnsi="黑体" w:eastAsia="黑体"/>
          <w:b w:val="0"/>
          <w:i w:val="0"/>
          <w:color w:val="000000"/>
          <w:sz w:val="31"/>
          <w:lang w:eastAsia="zh-CN"/>
        </w:rPr>
        <w:t xml:space="preserve">第二章 </w:t>
      </w:r>
      <w:r>
        <w:rPr>
          <w:rFonts w:hint="eastAsia" w:ascii="黑体" w:hAnsi="黑体" w:eastAsia="黑体"/>
          <w:b w:val="0"/>
          <w:i w:val="0"/>
          <w:color w:val="000000"/>
          <w:sz w:val="31"/>
          <w:lang w:val="en-US" w:eastAsia="zh-CN"/>
        </w:rPr>
        <w:t xml:space="preserve"> </w:t>
      </w:r>
      <w:r>
        <w:rPr>
          <w:rFonts w:hint="eastAsia" w:ascii="黑体" w:hAnsi="黑体" w:eastAsia="黑体"/>
          <w:b w:val="0"/>
          <w:i w:val="0"/>
          <w:color w:val="000000"/>
          <w:sz w:val="31"/>
          <w:lang w:eastAsia="zh-CN"/>
        </w:rPr>
        <w:t>申</w:t>
      </w:r>
      <w:r>
        <w:rPr>
          <w:rFonts w:hint="default" w:ascii="黑体" w:hAnsi="黑体" w:eastAsia="黑体"/>
          <w:b w:val="0"/>
          <w:i w:val="0"/>
          <w:color w:val="000000"/>
          <w:sz w:val="31"/>
          <w:lang w:val="en" w:eastAsia="zh-CN"/>
        </w:rPr>
        <w:t xml:space="preserve"> </w:t>
      </w:r>
      <w:r>
        <w:rPr>
          <w:rFonts w:hint="eastAsia" w:ascii="黑体" w:hAnsi="黑体" w:eastAsia="黑体"/>
          <w:b w:val="0"/>
          <w:i w:val="0"/>
          <w:color w:val="000000"/>
          <w:sz w:val="31"/>
          <w:lang w:eastAsia="zh-CN"/>
        </w:rPr>
        <w:t>报</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第六条 </w:t>
      </w:r>
      <w:r>
        <w:rPr>
          <w:rFonts w:hint="eastAsia" w:ascii="仿宋_GB2312" w:hAnsi="仿宋_GB2312" w:eastAsia="仿宋_GB2312" w:cs="仿宋_GB2312"/>
          <w:snapToGrid w:val="0"/>
          <w:color w:val="000000"/>
          <w:sz w:val="32"/>
          <w:szCs w:val="32"/>
          <w:lang w:eastAsia="zh-CN"/>
        </w:rPr>
        <w:t>申报企业应具备以下基本条件：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1.企业组织形式。在我市行政区域内依法设立的以农产品生产、加工或流通为主业，具有独立法人资格的企业。包括依照《中华人民共和国公司法》设立的公司，其他形式的国有、集体、私营企业以及中外合资经营、中外合作经营、外商独资企业，直接在市场监督管理部门注册登记的农产品专业批发市场等。</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2.生产、加工、流通企业规模。总资产规模在</w:t>
      </w:r>
      <w:r>
        <w:rPr>
          <w:rFonts w:hint="eastAsia" w:ascii="仿宋_GB2312" w:hAnsi="仿宋_GB2312" w:eastAsia="仿宋_GB2312" w:cs="仿宋_GB2312"/>
          <w:snapToGrid w:val="0"/>
          <w:color w:val="000000"/>
          <w:sz w:val="32"/>
          <w:szCs w:val="32"/>
          <w:lang w:val="en-US" w:eastAsia="zh-CN"/>
        </w:rPr>
        <w:t>2</w:t>
      </w:r>
      <w:r>
        <w:rPr>
          <w:rFonts w:hint="eastAsia" w:ascii="仿宋_GB2312" w:hAnsi="仿宋_GB2312" w:eastAsia="仿宋_GB2312" w:cs="仿宋_GB2312"/>
          <w:snapToGrid w:val="0"/>
          <w:color w:val="000000"/>
          <w:sz w:val="32"/>
          <w:szCs w:val="32"/>
          <w:lang w:eastAsia="zh-CN"/>
        </w:rPr>
        <w:t>000万元以上，其中固定资产规模在</w:t>
      </w:r>
      <w:r>
        <w:rPr>
          <w:rFonts w:hint="eastAsia" w:ascii="仿宋_GB2312" w:hAnsi="仿宋_GB2312" w:eastAsia="仿宋_GB2312" w:cs="仿宋_GB2312"/>
          <w:snapToGrid w:val="0"/>
          <w:color w:val="000000"/>
          <w:sz w:val="32"/>
          <w:szCs w:val="32"/>
          <w:lang w:val="en-US" w:eastAsia="zh-CN"/>
        </w:rPr>
        <w:t>1</w:t>
      </w:r>
      <w:r>
        <w:rPr>
          <w:rFonts w:hint="eastAsia" w:ascii="仿宋_GB2312" w:hAnsi="仿宋_GB2312" w:eastAsia="仿宋_GB2312" w:cs="仿宋_GB2312"/>
          <w:snapToGrid w:val="0"/>
          <w:color w:val="000000"/>
          <w:sz w:val="32"/>
          <w:szCs w:val="32"/>
          <w:lang w:eastAsia="zh-CN"/>
        </w:rPr>
        <w:t>00</w:t>
      </w:r>
      <w:r>
        <w:rPr>
          <w:rFonts w:hint="eastAsia" w:ascii="仿宋_GB2312" w:hAnsi="仿宋_GB2312" w:eastAsia="仿宋_GB2312" w:cs="仿宋_GB2312"/>
          <w:snapToGrid w:val="0"/>
          <w:color w:val="000000"/>
          <w:sz w:val="32"/>
          <w:szCs w:val="32"/>
          <w:lang w:val="en-US" w:eastAsia="zh-CN"/>
        </w:rPr>
        <w:t>0</w:t>
      </w:r>
      <w:r>
        <w:rPr>
          <w:rFonts w:hint="eastAsia" w:ascii="仿宋_GB2312" w:hAnsi="仿宋_GB2312" w:eastAsia="仿宋_GB2312" w:cs="仿宋_GB2312"/>
          <w:snapToGrid w:val="0"/>
          <w:color w:val="000000"/>
          <w:sz w:val="32"/>
          <w:szCs w:val="32"/>
          <w:lang w:eastAsia="zh-CN"/>
        </w:rPr>
        <w:t>万元以上；年销售收入</w:t>
      </w:r>
      <w:r>
        <w:rPr>
          <w:rFonts w:hint="eastAsia" w:ascii="仿宋_GB2312" w:hAnsi="仿宋_GB2312" w:eastAsia="仿宋_GB2312" w:cs="仿宋_GB2312"/>
          <w:snapToGrid w:val="0"/>
          <w:color w:val="000000"/>
          <w:sz w:val="32"/>
          <w:szCs w:val="32"/>
          <w:lang w:val="en-US" w:eastAsia="zh-CN"/>
        </w:rPr>
        <w:t>2</w:t>
      </w:r>
      <w:r>
        <w:rPr>
          <w:rFonts w:hint="eastAsia" w:ascii="仿宋_GB2312" w:hAnsi="仿宋_GB2312" w:eastAsia="仿宋_GB2312" w:cs="仿宋_GB2312"/>
          <w:snapToGrid w:val="0"/>
          <w:color w:val="000000"/>
          <w:sz w:val="32"/>
          <w:szCs w:val="32"/>
          <w:lang w:eastAsia="zh-CN"/>
        </w:rPr>
        <w:t>000万元以上，其中农产品生产、加工、流通的销售收入（交易额）占总销售收入（总交易额）</w:t>
      </w:r>
      <w:r>
        <w:rPr>
          <w:rFonts w:hint="eastAsia" w:ascii="仿宋_GB2312" w:hAnsi="仿宋_GB2312" w:eastAsia="仿宋_GB2312" w:cs="仿宋_GB2312"/>
          <w:snapToGrid w:val="0"/>
          <w:color w:val="000000"/>
          <w:sz w:val="32"/>
          <w:szCs w:val="32"/>
          <w:lang w:val="en-US" w:eastAsia="zh-CN"/>
        </w:rPr>
        <w:t>50</w:t>
      </w:r>
      <w:r>
        <w:rPr>
          <w:rFonts w:hint="eastAsia" w:ascii="仿宋_GB2312" w:hAnsi="仿宋_GB2312" w:eastAsia="仿宋_GB2312" w:cs="仿宋_GB2312"/>
          <w:snapToGrid w:val="0"/>
          <w:color w:val="000000"/>
          <w:sz w:val="32"/>
          <w:szCs w:val="32"/>
          <w:lang w:eastAsia="zh-CN"/>
        </w:rPr>
        <w:t>％以上。</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3.农产品专业批发市场规模。年交易额在</w:t>
      </w:r>
      <w:r>
        <w:rPr>
          <w:rFonts w:hint="eastAsia" w:ascii="仿宋_GB2312" w:hAnsi="仿宋_GB2312" w:eastAsia="仿宋_GB2312" w:cs="仿宋_GB2312"/>
          <w:snapToGrid w:val="0"/>
          <w:color w:val="000000"/>
          <w:sz w:val="32"/>
          <w:szCs w:val="32"/>
          <w:lang w:val="en-US" w:eastAsia="zh-CN"/>
        </w:rPr>
        <w:t>5000万</w:t>
      </w:r>
      <w:r>
        <w:rPr>
          <w:rFonts w:hint="eastAsia" w:ascii="仿宋_GB2312" w:hAnsi="仿宋_GB2312" w:eastAsia="仿宋_GB2312" w:cs="仿宋_GB2312"/>
          <w:snapToGrid w:val="0"/>
          <w:color w:val="000000"/>
          <w:sz w:val="32"/>
          <w:szCs w:val="32"/>
          <w:lang w:eastAsia="zh-CN"/>
        </w:rPr>
        <w:t>元以上。</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4.企业效益。企业的总资产报酬率应高于现行一年期银行贷款基准利率；企业诚信守法经营，应按时发放工资、按时缴纳社会保险、按月计提固定资产折旧，无重大涉税违法行为。</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5.企业负债与信用。生产、加工企业以及专业批发市场资产负债率应不高于70%，流通企业适当放宽；企业信用良好，近2年内没有不良信用记录。</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6.企业带动能力。鼓励龙头企业通过农民专业合作社、家庭农场等新型农业经营主体直接带动农户。通过建立合同、合作、股份合作等利益联结方式带动农户的数量一般应达到</w:t>
      </w:r>
      <w:r>
        <w:rPr>
          <w:rFonts w:hint="eastAsia" w:ascii="仿宋_GB2312" w:hAnsi="仿宋_GB2312" w:eastAsia="仿宋_GB2312" w:cs="仿宋_GB2312"/>
          <w:snapToGrid w:val="0"/>
          <w:color w:val="000000"/>
          <w:sz w:val="32"/>
          <w:szCs w:val="32"/>
          <w:lang w:val="en-US" w:eastAsia="zh-CN"/>
        </w:rPr>
        <w:t>5</w:t>
      </w:r>
      <w:r>
        <w:rPr>
          <w:rFonts w:hint="eastAsia" w:ascii="仿宋_GB2312" w:hAnsi="仿宋_GB2312" w:eastAsia="仿宋_GB2312" w:cs="仿宋_GB2312"/>
          <w:snapToGrid w:val="0"/>
          <w:color w:val="000000"/>
          <w:sz w:val="32"/>
          <w:szCs w:val="32"/>
          <w:lang w:eastAsia="zh-CN"/>
        </w:rPr>
        <w:t>00户以上。</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7.企业产品竞争力。在同行业中企业的主营产品质量、科技含量、新产品开发能力居领先水平，企业有注册商标和品牌。主营产品符合国家产业政策、环保政策和绿色发展要求，并获得相关质量管理标准体系认证，近2年内没有发生产品质量安全事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8.申报企业原则上是农业产业化县级重点龙头企业。</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第七条 </w:t>
      </w:r>
      <w:r>
        <w:rPr>
          <w:rFonts w:hint="eastAsia" w:ascii="仿宋_GB2312" w:hAnsi="仿宋_GB2312" w:eastAsia="仿宋_GB2312" w:cs="仿宋_GB2312"/>
          <w:snapToGrid w:val="0"/>
          <w:color w:val="000000"/>
          <w:sz w:val="32"/>
          <w:szCs w:val="32"/>
          <w:lang w:eastAsia="zh-CN"/>
        </w:rPr>
        <w:t>符合本办法第六条第1、2、4、5、6、7、8款要求的农产品生产、加工、流通企业可以申报作为市级重点龙头企业；符合本办法第六条第1、3、4、5、8款及第7款中近2年内没发生产品质量安全事件要求的农产品专业批发市场可以申报作为市级重点龙头企业。高新技术企业、外向型企业、低碳环保型企业以及特殊行业企业规模标准可适当放宽。蔬菜、果品、山特产品生产加工企业规模标准参照第六条第2款减半执行。获得“三品一标”认证的企业同等条件下可优先申报。</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第八条 </w:t>
      </w:r>
      <w:r>
        <w:rPr>
          <w:rFonts w:hint="eastAsia" w:ascii="仿宋_GB2312" w:hAnsi="仿宋_GB2312" w:eastAsia="仿宋_GB2312" w:cs="仿宋_GB2312"/>
          <w:snapToGrid w:val="0"/>
          <w:color w:val="000000"/>
          <w:sz w:val="32"/>
          <w:szCs w:val="32"/>
          <w:lang w:eastAsia="zh-CN"/>
        </w:rPr>
        <w:t>申报材料。申报企业应按照本办法第六、七条要求提供有关申报材料。</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1.介绍企业发展农业产业化情况的专题材料；</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2.被认定为农业产业化县级重点龙头企业的相关文件或证书（复印件）；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3.市场监督管理部门颁发的企业营业执照（复印件）；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4.开户银行或中国人民银行出具的有效信用证明（原件）；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5.有资质的会计师事务所提供的企业近2年的审计报告（原件）；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6.县（市）区以上农村经营管理部门提供的近2年企业与农户利益关系证明（原件），应将企业带动农户情况进行公示，接受社会监督；</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7.企业所在地县（市）区以上税务部门出具的企业近2年内纳税情况证明（原件）；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8.企业所在地县（市）区以上农业或其他法定监管部门提供的近2年产品质量安全情况证明（原件）。</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9.企业对申报材料及佐证材料真实性负责的声明。</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第九条 </w:t>
      </w:r>
      <w:r>
        <w:rPr>
          <w:rFonts w:hint="eastAsia" w:ascii="仿宋_GB2312" w:hAnsi="仿宋_GB2312" w:eastAsia="仿宋_GB2312" w:cs="仿宋_GB2312"/>
          <w:snapToGrid w:val="0"/>
          <w:color w:val="000000"/>
          <w:sz w:val="32"/>
          <w:szCs w:val="32"/>
          <w:lang w:eastAsia="zh-CN"/>
        </w:rPr>
        <w:t>申报程序</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1.申报企业直接向企业所在地的县（市）区农业产业化工作主管部门提出申请，并按照要求填报相关材料。</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2.各县（市）区农业产业化工作主管部门负责对企业所报材料的真实性、完整性、规范性进行审核。</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3.各县（市）区农业产业化工作主管部门应充分征求发改、财政、商务、人民银行、税务、供销合作社等部门对申报企业的意见，并经县（市）区人民政府同意，以正式文件向市农业农村局推荐，并附审核推荐意见和相关材料。</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4.中直、省直企业根据属地原则，通过企业注册地农业产业化工作主管部门进行申报。</w:t>
      </w:r>
    </w:p>
    <w:p>
      <w:pPr>
        <w:keepNext w:val="0"/>
        <w:keepLines w:val="0"/>
        <w:pageBreakBefore w:val="0"/>
        <w:widowControl/>
        <w:tabs>
          <w:tab w:val="left" w:pos="4660"/>
        </w:tabs>
        <w:kinsoku/>
        <w:wordWrap/>
        <w:overflowPunct w:val="0"/>
        <w:topLinePunct w:val="0"/>
        <w:autoSpaceDE/>
        <w:autoSpaceDN/>
        <w:bidi w:val="0"/>
        <w:adjustRightInd/>
        <w:snapToGrid/>
        <w:spacing w:after="0" w:line="580" w:lineRule="exact"/>
        <w:ind w:left="0" w:right="0" w:firstLine="0"/>
        <w:jc w:val="center"/>
        <w:textAlignment w:val="auto"/>
      </w:pPr>
      <w:r>
        <w:rPr>
          <w:rFonts w:ascii="黑体" w:hAnsi="黑体" w:eastAsia="黑体"/>
          <w:b w:val="0"/>
          <w:i w:val="0"/>
          <w:color w:val="000000"/>
          <w:sz w:val="31"/>
        </w:rPr>
        <w:t xml:space="preserve">第三章 </w:t>
      </w:r>
      <w:r>
        <w:rPr>
          <w:rFonts w:hint="default" w:ascii="黑体"/>
          <w:lang w:val="en"/>
        </w:rPr>
        <w:t xml:space="preserve"> </w:t>
      </w:r>
      <w:r>
        <w:rPr>
          <w:rFonts w:ascii="黑体" w:hAnsi="黑体" w:eastAsia="黑体"/>
          <w:b w:val="0"/>
          <w:i w:val="0"/>
          <w:color w:val="000000"/>
          <w:sz w:val="31"/>
        </w:rPr>
        <w:t>认</w:t>
      </w:r>
      <w:r>
        <w:rPr>
          <w:rFonts w:hint="default" w:ascii="黑体" w:hAnsi="黑体" w:eastAsia="黑体"/>
          <w:b w:val="0"/>
          <w:i w:val="0"/>
          <w:color w:val="000000"/>
          <w:sz w:val="31"/>
          <w:lang w:val="en"/>
        </w:rPr>
        <w:t xml:space="preserve"> </w:t>
      </w:r>
      <w:r>
        <w:rPr>
          <w:rFonts w:ascii="黑体" w:hAnsi="黑体" w:eastAsia="黑体"/>
          <w:b w:val="0"/>
          <w:i w:val="0"/>
          <w:color w:val="000000"/>
          <w:sz w:val="31"/>
        </w:rPr>
        <w:t>定</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第十条 </w:t>
      </w:r>
      <w:r>
        <w:rPr>
          <w:rFonts w:hint="eastAsia" w:ascii="仿宋_GB2312" w:hAnsi="仿宋_GB2312" w:eastAsia="仿宋_GB2312" w:cs="仿宋_GB2312"/>
          <w:snapToGrid w:val="0"/>
          <w:color w:val="000000"/>
          <w:sz w:val="32"/>
          <w:szCs w:val="32"/>
          <w:lang w:eastAsia="zh-CN"/>
        </w:rPr>
        <w:t>认定程序</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1.农业产业化联席会议办公室汇总审核推荐意见和相关材料，经征求农业产业化联席会议成员单位意见后，报市农业产业化联席会议审定。</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2.市农业产业化联席会议审定后，对拟认定的市级重点龙头企业名单，在伊春市人民政府网公示7个工作日无异议后，由市农业产业化联席会议成员单位联合发文公布，并颁发证书。</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3.经认定公布的市级重点龙头企业，享受有关优惠政策。市级重点龙头企业所属的控股子公司，其直接控股比例超过50%（不含50%）的，且控股子公司以农产品生产、加工或流通为主业，可享受市级重点龙头企业的有关优惠政策。</w:t>
      </w:r>
    </w:p>
    <w:p>
      <w:pPr>
        <w:keepNext w:val="0"/>
        <w:keepLines w:val="0"/>
        <w:pageBreakBefore w:val="0"/>
        <w:widowControl/>
        <w:tabs>
          <w:tab w:val="left" w:pos="4420"/>
        </w:tabs>
        <w:kinsoku/>
        <w:wordWrap/>
        <w:overflowPunct w:val="0"/>
        <w:topLinePunct w:val="0"/>
        <w:autoSpaceDE/>
        <w:autoSpaceDN/>
        <w:bidi w:val="0"/>
        <w:adjustRightInd/>
        <w:snapToGrid/>
        <w:spacing w:after="0" w:line="580" w:lineRule="exact"/>
        <w:ind w:left="0" w:right="0" w:firstLine="0"/>
        <w:jc w:val="center"/>
        <w:textAlignment w:val="auto"/>
      </w:pPr>
      <w:r>
        <w:rPr>
          <w:rFonts w:ascii="黑体" w:hAnsi="黑体" w:eastAsia="黑体"/>
          <w:b w:val="0"/>
          <w:i w:val="0"/>
          <w:color w:val="000000"/>
          <w:sz w:val="31"/>
        </w:rPr>
        <w:t xml:space="preserve">第四章 </w:t>
      </w:r>
      <w:r>
        <w:rPr>
          <w:rFonts w:hint="default" w:ascii="黑体" w:hAnsi="黑体" w:eastAsia="黑体"/>
          <w:b w:val="0"/>
          <w:i w:val="0"/>
          <w:color w:val="000000"/>
          <w:sz w:val="31"/>
          <w:lang w:val="en"/>
        </w:rPr>
        <w:t xml:space="preserve"> </w:t>
      </w:r>
      <w:r>
        <w:rPr>
          <w:rFonts w:ascii="黑体" w:hAnsi="黑体" w:eastAsia="黑体"/>
          <w:b w:val="0"/>
          <w:i w:val="0"/>
          <w:color w:val="000000"/>
          <w:sz w:val="31"/>
        </w:rPr>
        <w:t>运行监测</w:t>
      </w:r>
    </w:p>
    <w:p>
      <w:pPr>
        <w:keepNext w:val="0"/>
        <w:keepLines w:val="0"/>
        <w:pageBreakBefore w:val="0"/>
        <w:widowControl/>
        <w:kinsoku/>
        <w:wordWrap/>
        <w:overflowPunct w:val="0"/>
        <w:topLinePunct w:val="0"/>
        <w:autoSpaceDE/>
        <w:autoSpaceDN/>
        <w:bidi w:val="0"/>
        <w:adjustRightInd/>
        <w:snapToGrid/>
        <w:spacing w:after="0" w:line="580" w:lineRule="exact"/>
        <w:ind w:left="0" w:right="0" w:firstLine="620" w:firstLineChars="200"/>
        <w:jc w:val="left"/>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第十一条</w:t>
      </w:r>
      <w:r>
        <w:rPr>
          <w:rFonts w:ascii="仿宋" w:hAnsi="仿宋" w:eastAsia="仿宋"/>
          <w:b w:val="0"/>
          <w:i w:val="0"/>
          <w:color w:val="000000"/>
          <w:sz w:val="31"/>
        </w:rPr>
        <w:t xml:space="preserve"> </w:t>
      </w:r>
      <w:r>
        <w:rPr>
          <w:rFonts w:hint="eastAsia" w:ascii="仿宋_GB2312" w:hAnsi="仿宋_GB2312" w:eastAsia="仿宋_GB2312" w:cs="仿宋_GB2312"/>
          <w:snapToGrid w:val="0"/>
          <w:color w:val="000000"/>
          <w:sz w:val="32"/>
          <w:szCs w:val="32"/>
          <w:lang w:eastAsia="zh-CN"/>
        </w:rPr>
        <w:t>已认定的市级重点龙头企业纳入运行监测范围。</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第十二条 </w:t>
      </w:r>
      <w:r>
        <w:rPr>
          <w:rFonts w:hint="eastAsia" w:ascii="仿宋_GB2312" w:hAnsi="仿宋_GB2312" w:eastAsia="仿宋_GB2312" w:cs="仿宋_GB2312"/>
          <w:snapToGrid w:val="0"/>
          <w:color w:val="000000"/>
          <w:sz w:val="32"/>
          <w:szCs w:val="32"/>
          <w:lang w:eastAsia="zh-CN"/>
        </w:rPr>
        <w:t>市级重点龙头企业实行有进有出的动态管理，采取日常生产经营运行统计分析监测和每两年一次的资格确认监测。</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第十三条 </w:t>
      </w:r>
      <w:r>
        <w:rPr>
          <w:rFonts w:hint="eastAsia" w:ascii="仿宋_GB2312" w:hAnsi="仿宋_GB2312" w:eastAsia="仿宋_GB2312" w:cs="仿宋_GB2312"/>
          <w:snapToGrid w:val="0"/>
          <w:color w:val="000000"/>
          <w:sz w:val="32"/>
          <w:szCs w:val="32"/>
          <w:lang w:eastAsia="zh-CN"/>
        </w:rPr>
        <w:t>市农业产业化联席会议成员单位加强对市级重点龙头企业生产经营运行情况的跟踪调查，采取定期统计分析、实地考察、随机抽查、重点督查等方式，及时了解企业基地建设、生产加工、市场销售、带农增收、质量安全等方面情况，帮助市级重点龙头企业解决发展中遇到的突出困难，完善相关扶持政策。</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第十四条 </w:t>
      </w:r>
      <w:r>
        <w:rPr>
          <w:rFonts w:hint="eastAsia" w:ascii="仿宋_GB2312" w:hAnsi="仿宋_GB2312" w:eastAsia="仿宋_GB2312" w:cs="仿宋_GB2312"/>
          <w:snapToGrid w:val="0"/>
          <w:color w:val="000000"/>
          <w:sz w:val="32"/>
          <w:szCs w:val="32"/>
          <w:lang w:eastAsia="zh-CN"/>
        </w:rPr>
        <w:t>监测评估的具体办法：</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1.企业报送材料。市级重点龙头企业每年报送一次企业生产经营运行情况。在资格确认监测年份，除报送企业生产经营运行情况表和年度发展报告外，重点报送：经有资质的会计师事务所审定的企业资产和效益情况，开户银行或中国人民银行提供的信用证明，企业的纳税情况证明，质量安全情况证明，县（市）区以上农村经营管理部门提供的企业与农户利益关系情况证明，企业履行社会责任情况的说明等。</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2.县级材料汇总与核查。被监测企业对照监测标准开展自检，并向所在县（市）区农业产业化主管部门提出监测申请报告；各县（市）区农业产业化主管部门负责对所辖市级重点龙头企业所报材料进行汇总、核查。核查无误后，报市农业产业化联席会议办公室审定。</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3.监测结果审定。市农业产业化联席会议办公室对市级重点龙头企业的生产经营和农业产业化发展情况进行分析，经征求市农业产业化联席会议成员单位意见后，经公示无异议的企业，由联席会议成员单位联合发文公布。</w:t>
      </w:r>
    </w:p>
    <w:p>
      <w:pPr>
        <w:keepNext w:val="0"/>
        <w:keepLines w:val="0"/>
        <w:pageBreakBefore w:val="0"/>
        <w:widowControl/>
        <w:kinsoku/>
        <w:wordWrap/>
        <w:overflowPunct w:val="0"/>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val="en-US" w:eastAsia="zh-CN"/>
        </w:rPr>
        <w:t>4</w:t>
      </w:r>
      <w:r>
        <w:rPr>
          <w:rFonts w:hint="eastAsia" w:ascii="仿宋_GB2312" w:hAnsi="仿宋_GB2312" w:eastAsia="仿宋_GB2312" w:cs="仿宋_GB2312"/>
          <w:snapToGrid w:val="0"/>
          <w:color w:val="000000"/>
          <w:sz w:val="32"/>
          <w:szCs w:val="32"/>
          <w:lang w:eastAsia="zh-CN"/>
        </w:rPr>
        <w:t>.对因违法违规发生重大质量安全事故、上市违规操作、存在坑农害农等违法违规行为，或被公布为重大税收违法案件当事人的，取消其市级重点龙头企业资格。</w:t>
      </w:r>
    </w:p>
    <w:p>
      <w:pPr>
        <w:keepNext w:val="0"/>
        <w:keepLines w:val="0"/>
        <w:pageBreakBefore w:val="0"/>
        <w:widowControl/>
        <w:kinsoku/>
        <w:wordWrap/>
        <w:overflowPunct w:val="0"/>
        <w:topLinePunct w:val="0"/>
        <w:autoSpaceDE/>
        <w:autoSpaceDN/>
        <w:bidi w:val="0"/>
        <w:adjustRightInd/>
        <w:snapToGrid/>
        <w:spacing w:after="0" w:line="580" w:lineRule="exact"/>
        <w:ind w:lef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第十五条 </w:t>
      </w:r>
      <w:r>
        <w:rPr>
          <w:rFonts w:hint="eastAsia" w:ascii="仿宋_GB2312" w:hAnsi="仿宋_GB2312" w:eastAsia="仿宋_GB2312" w:cs="仿宋_GB2312"/>
          <w:snapToGrid w:val="0"/>
          <w:color w:val="000000"/>
          <w:sz w:val="32"/>
          <w:szCs w:val="32"/>
          <w:lang w:eastAsia="zh-CN"/>
        </w:rPr>
        <w:t>监测合格的市级重点龙头企业，继续保留资格，享受有关优惠政策；监测不合格者，取消其市级重点龙头企业资格，不再享受有关优惠政策。黑龙江省农业产业化重点龙头企业中监测不合格者按照市级重点龙头企业进行监测，市农业农村局以适当形式向社会公布监测结果。</w:t>
      </w:r>
    </w:p>
    <w:p>
      <w:pPr>
        <w:keepNext w:val="0"/>
        <w:keepLines w:val="0"/>
        <w:pageBreakBefore w:val="0"/>
        <w:widowControl/>
        <w:tabs>
          <w:tab w:val="left" w:pos="4580"/>
          <w:tab w:val="left" w:pos="5222"/>
        </w:tabs>
        <w:kinsoku/>
        <w:wordWrap/>
        <w:overflowPunct w:val="0"/>
        <w:topLinePunct w:val="0"/>
        <w:autoSpaceDE/>
        <w:autoSpaceDN/>
        <w:bidi w:val="0"/>
        <w:adjustRightInd/>
        <w:snapToGrid/>
        <w:spacing w:after="0" w:line="580" w:lineRule="exact"/>
        <w:ind w:left="0" w:right="0" w:firstLine="0"/>
        <w:jc w:val="center"/>
        <w:textAlignment w:val="auto"/>
      </w:pPr>
      <w:r>
        <w:rPr>
          <w:rFonts w:ascii="黑体" w:hAnsi="黑体" w:eastAsia="黑体"/>
          <w:b w:val="0"/>
          <w:i w:val="0"/>
          <w:color w:val="000000"/>
          <w:sz w:val="31"/>
        </w:rPr>
        <w:t xml:space="preserve">第五章 </w:t>
      </w:r>
      <w:r>
        <w:rPr>
          <w:rFonts w:hint="eastAsia" w:ascii="黑体" w:hAnsi="黑体" w:eastAsia="黑体"/>
          <w:b w:val="0"/>
          <w:i w:val="0"/>
          <w:color w:val="000000"/>
          <w:sz w:val="31"/>
          <w:lang w:val="en-US" w:eastAsia="zh-CN"/>
        </w:rPr>
        <w:t xml:space="preserve"> </w:t>
      </w:r>
      <w:r>
        <w:rPr>
          <w:rFonts w:ascii="黑体" w:hAnsi="黑体" w:eastAsia="黑体"/>
          <w:b w:val="0"/>
          <w:i w:val="0"/>
          <w:color w:val="000000"/>
          <w:sz w:val="31"/>
        </w:rPr>
        <w:t>附</w:t>
      </w:r>
      <w:r>
        <w:rPr>
          <w:rFonts w:hint="default" w:ascii="黑体" w:hAnsi="黑体" w:eastAsia="黑体"/>
          <w:b w:val="0"/>
          <w:i w:val="0"/>
          <w:color w:val="000000"/>
          <w:sz w:val="31"/>
          <w:lang w:val="en"/>
        </w:rPr>
        <w:t xml:space="preserve"> </w:t>
      </w:r>
      <w:r>
        <w:rPr>
          <w:rFonts w:ascii="黑体" w:hAnsi="黑体" w:eastAsia="黑体"/>
          <w:b w:val="0"/>
          <w:i w:val="0"/>
          <w:color w:val="000000"/>
          <w:sz w:val="31"/>
        </w:rPr>
        <w:t>则</w:t>
      </w:r>
    </w:p>
    <w:p>
      <w:pPr>
        <w:keepNext w:val="0"/>
        <w:keepLines w:val="0"/>
        <w:pageBreakBefore w:val="0"/>
        <w:widowControl/>
        <w:tabs>
          <w:tab w:val="left" w:pos="640"/>
          <w:tab w:val="left" w:pos="2288"/>
        </w:tabs>
        <w:kinsoku/>
        <w:wordWrap/>
        <w:overflowPunct w:val="0"/>
        <w:topLinePunct w:val="0"/>
        <w:autoSpaceDE/>
        <w:autoSpaceDN w:val="0"/>
        <w:bidi w:val="0"/>
        <w:adjustRightInd/>
        <w:snapToGrid/>
        <w:spacing w:after="0" w:line="580" w:lineRule="exact"/>
        <w:ind w:left="0" w:righ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第十六条</w:t>
      </w:r>
      <w:r>
        <w:rPr>
          <w:rFonts w:hint="eastAsia" w:ascii="楷体" w:hAnsi="楷体" w:eastAsia="楷体"/>
          <w:b w:val="0"/>
          <w:i w:val="0"/>
          <w:color w:val="000000"/>
          <w:sz w:val="31"/>
          <w:lang w:val="en-US" w:eastAsia="zh-CN"/>
        </w:rPr>
        <w:t xml:space="preserve"> </w:t>
      </w:r>
      <w:r>
        <w:rPr>
          <w:rFonts w:hint="eastAsia" w:ascii="仿宋_GB2312" w:hAnsi="仿宋_GB2312" w:eastAsia="仿宋_GB2312" w:cs="仿宋_GB2312"/>
          <w:snapToGrid w:val="0"/>
          <w:color w:val="000000"/>
          <w:sz w:val="32"/>
          <w:szCs w:val="32"/>
          <w:lang w:eastAsia="zh-CN"/>
        </w:rPr>
        <w:t>申报市级重点龙头企业的企业及已认定的市级重点龙头企业应按要求如实提供有关材料，不得弄虚作假。如存在舞弊行为，一经查实，未经认定的企业取消其申报资格，2年内不得申报；已经认定的企业取消其市级重点龙头企业资格。</w:t>
      </w:r>
    </w:p>
    <w:p>
      <w:pPr>
        <w:keepNext w:val="0"/>
        <w:keepLines w:val="0"/>
        <w:pageBreakBefore w:val="0"/>
        <w:widowControl/>
        <w:tabs>
          <w:tab w:val="left" w:pos="640"/>
          <w:tab w:val="left" w:pos="2288"/>
        </w:tabs>
        <w:kinsoku/>
        <w:wordWrap/>
        <w:overflowPunct w:val="0"/>
        <w:topLinePunct w:val="0"/>
        <w:autoSpaceDE/>
        <w:autoSpaceDN/>
        <w:bidi w:val="0"/>
        <w:adjustRightInd/>
        <w:snapToGrid/>
        <w:spacing w:after="0" w:line="580" w:lineRule="exact"/>
        <w:ind w:left="0" w:righ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第十七条</w:t>
      </w:r>
      <w:r>
        <w:rPr>
          <w:rFonts w:hint="default" w:ascii="楷体" w:hAnsi="楷体" w:eastAsia="楷体"/>
          <w:b w:val="0"/>
          <w:i w:val="0"/>
          <w:color w:val="000000"/>
          <w:sz w:val="31"/>
          <w:lang w:val="en"/>
        </w:rPr>
        <w:t xml:space="preserve"> </w:t>
      </w:r>
      <w:r>
        <w:rPr>
          <w:rFonts w:hint="eastAsia" w:ascii="仿宋_GB2312" w:hAnsi="仿宋_GB2312" w:eastAsia="仿宋_GB2312" w:cs="仿宋_GB2312"/>
          <w:snapToGrid w:val="0"/>
          <w:color w:val="000000"/>
          <w:sz w:val="32"/>
          <w:szCs w:val="32"/>
          <w:lang w:eastAsia="zh-CN"/>
        </w:rPr>
        <w:t>市级重点龙头企业要及时提供有关企业经济运行情况的材料。对不认真、不及时上报的企业给予警告，被警告2次的企业取消市级重点龙头企业资格。</w:t>
      </w:r>
    </w:p>
    <w:p>
      <w:pPr>
        <w:keepNext w:val="0"/>
        <w:keepLines w:val="0"/>
        <w:pageBreakBefore w:val="0"/>
        <w:widowControl/>
        <w:tabs>
          <w:tab w:val="left" w:pos="640"/>
          <w:tab w:val="left" w:pos="2240"/>
        </w:tabs>
        <w:kinsoku/>
        <w:wordWrap/>
        <w:overflowPunct w:val="0"/>
        <w:topLinePunct w:val="0"/>
        <w:autoSpaceDE/>
        <w:autoSpaceDN w:val="0"/>
        <w:bidi w:val="0"/>
        <w:adjustRightInd/>
        <w:snapToGrid/>
        <w:spacing w:after="0" w:line="580" w:lineRule="exact"/>
        <w:ind w:left="0" w:righ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第十八条</w:t>
      </w:r>
      <w:r>
        <w:rPr>
          <w:rFonts w:hint="default" w:ascii="楷体" w:hAnsi="楷体" w:eastAsia="楷体"/>
          <w:b w:val="0"/>
          <w:i w:val="0"/>
          <w:color w:val="000000"/>
          <w:sz w:val="31"/>
          <w:lang w:val="en"/>
        </w:rPr>
        <w:t xml:space="preserve"> </w:t>
      </w:r>
      <w:r>
        <w:rPr>
          <w:rFonts w:hint="eastAsia" w:ascii="仿宋_GB2312" w:hAnsi="仿宋_GB2312" w:eastAsia="仿宋_GB2312" w:cs="仿宋_GB2312"/>
          <w:snapToGrid w:val="0"/>
          <w:color w:val="000000"/>
          <w:sz w:val="32"/>
          <w:szCs w:val="32"/>
          <w:lang w:eastAsia="zh-CN"/>
        </w:rPr>
        <w:t>对在申报、认定、监测工作中，不坚持公开、公平、公正原则，存在徇私舞弊行为的有关人员，按有关党纪政纪规定予以严肃查处。</w:t>
      </w:r>
    </w:p>
    <w:p>
      <w:pPr>
        <w:keepNext w:val="0"/>
        <w:keepLines w:val="0"/>
        <w:pageBreakBefore w:val="0"/>
        <w:widowControl/>
        <w:tabs>
          <w:tab w:val="left" w:pos="640"/>
          <w:tab w:val="left" w:pos="2560"/>
        </w:tabs>
        <w:kinsoku/>
        <w:wordWrap/>
        <w:overflowPunct w:val="0"/>
        <w:topLinePunct w:val="0"/>
        <w:autoSpaceDE/>
        <w:autoSpaceDN w:val="0"/>
        <w:bidi w:val="0"/>
        <w:adjustRightInd/>
        <w:snapToGrid/>
        <w:spacing w:after="0" w:line="580" w:lineRule="exact"/>
        <w:ind w:left="0" w:righ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第十九条 </w:t>
      </w:r>
      <w:r>
        <w:rPr>
          <w:rFonts w:hint="eastAsia" w:ascii="仿宋_GB2312" w:hAnsi="仿宋_GB2312" w:eastAsia="仿宋_GB2312" w:cs="仿宋_GB2312"/>
          <w:snapToGrid w:val="0"/>
          <w:color w:val="000000"/>
          <w:sz w:val="32"/>
          <w:szCs w:val="32"/>
          <w:lang w:eastAsia="zh-CN"/>
        </w:rPr>
        <w:t>市级重点龙头企业更改企业名称，应在第一时间将市场监督管理部门出具的《准予变更登记通知书》等更名材料报送市农业产业化主管部门，市农业产业化主管部门提出审查意见，报市农业产业化联席会议办公室予以审核确认后，将企业更名情况通报市农业产业化联席会议成员单位。</w:t>
      </w:r>
    </w:p>
    <w:p>
      <w:pPr>
        <w:keepNext w:val="0"/>
        <w:keepLines w:val="0"/>
        <w:pageBreakBefore w:val="0"/>
        <w:widowControl/>
        <w:tabs>
          <w:tab w:val="left" w:pos="640"/>
          <w:tab w:val="left" w:pos="2560"/>
        </w:tabs>
        <w:kinsoku/>
        <w:wordWrap/>
        <w:overflowPunct w:val="0"/>
        <w:topLinePunct w:val="0"/>
        <w:autoSpaceDE/>
        <w:autoSpaceDN w:val="0"/>
        <w:bidi w:val="0"/>
        <w:adjustRightInd/>
        <w:snapToGrid/>
        <w:spacing w:after="0" w:line="580" w:lineRule="exact"/>
        <w:ind w:left="0" w:righ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第二十条 </w:t>
      </w:r>
      <w:r>
        <w:rPr>
          <w:rFonts w:hint="eastAsia" w:ascii="仿宋_GB2312" w:hAnsi="仿宋_GB2312" w:eastAsia="仿宋_GB2312" w:cs="仿宋_GB2312"/>
          <w:snapToGrid w:val="0"/>
          <w:color w:val="000000"/>
          <w:sz w:val="32"/>
          <w:szCs w:val="32"/>
          <w:lang w:eastAsia="zh-CN"/>
        </w:rPr>
        <w:t>各县（市）区农业产业化主管部门可根据本办法，制定本地的农业产业化龙头企业有关认定和运行监测办法。</w:t>
      </w:r>
    </w:p>
    <w:p>
      <w:pPr>
        <w:keepNext w:val="0"/>
        <w:keepLines w:val="0"/>
        <w:pageBreakBefore w:val="0"/>
        <w:widowControl/>
        <w:tabs>
          <w:tab w:val="left" w:pos="640"/>
          <w:tab w:val="left" w:pos="2560"/>
        </w:tabs>
        <w:kinsoku/>
        <w:wordWrap/>
        <w:overflowPunct w:val="0"/>
        <w:topLinePunct w:val="0"/>
        <w:autoSpaceDE/>
        <w:autoSpaceDN w:val="0"/>
        <w:bidi w:val="0"/>
        <w:adjustRightInd/>
        <w:snapToGrid/>
        <w:spacing w:after="0" w:line="580" w:lineRule="exact"/>
        <w:ind w:left="0" w:right="0" w:firstLine="620" w:firstLineChars="200"/>
        <w:jc w:val="both"/>
        <w:textAlignment w:val="auto"/>
        <w:rPr>
          <w:rFonts w:hint="eastAsia" w:ascii="仿宋_GB2312" w:hAnsi="仿宋_GB2312" w:eastAsia="仿宋_GB2312" w:cs="仿宋_GB2312"/>
          <w:snapToGrid w:val="0"/>
          <w:color w:val="000000"/>
          <w:sz w:val="32"/>
          <w:szCs w:val="32"/>
          <w:lang w:eastAsia="zh-CN"/>
        </w:rPr>
      </w:pPr>
      <w:r>
        <w:rPr>
          <w:rFonts w:ascii="楷体" w:hAnsi="楷体" w:eastAsia="楷体"/>
          <w:b w:val="0"/>
          <w:i w:val="0"/>
          <w:color w:val="000000"/>
          <w:sz w:val="31"/>
        </w:rPr>
        <w:t xml:space="preserve">第二十一条 </w:t>
      </w:r>
      <w:r>
        <w:rPr>
          <w:rFonts w:hint="eastAsia" w:ascii="仿宋_GB2312" w:hAnsi="仿宋_GB2312" w:eastAsia="仿宋_GB2312" w:cs="仿宋_GB2312"/>
          <w:snapToGrid w:val="0"/>
          <w:color w:val="000000"/>
          <w:sz w:val="32"/>
          <w:szCs w:val="32"/>
          <w:lang w:eastAsia="zh-CN"/>
        </w:rPr>
        <w:t>本办法由市农业农村局解释。</w:t>
      </w:r>
    </w:p>
    <w:p>
      <w:pPr>
        <w:keepNext w:val="0"/>
        <w:keepLines w:val="0"/>
        <w:pageBreakBefore w:val="0"/>
        <w:widowControl/>
        <w:tabs>
          <w:tab w:val="left" w:pos="640"/>
          <w:tab w:val="left" w:pos="2560"/>
        </w:tabs>
        <w:kinsoku/>
        <w:wordWrap/>
        <w:overflowPunct w:val="0"/>
        <w:topLinePunct w:val="0"/>
        <w:autoSpaceDE/>
        <w:autoSpaceDN w:val="0"/>
        <w:bidi w:val="0"/>
        <w:adjustRightInd/>
        <w:snapToGrid/>
        <w:spacing w:after="0" w:line="580" w:lineRule="exact"/>
        <w:ind w:left="0" w:right="0" w:firstLine="620" w:firstLineChars="200"/>
        <w:jc w:val="both"/>
        <w:textAlignment w:val="auto"/>
      </w:pPr>
      <w:r>
        <w:rPr>
          <w:rFonts w:ascii="楷体" w:hAnsi="楷体" w:eastAsia="楷体"/>
          <w:b w:val="0"/>
          <w:i w:val="0"/>
          <w:color w:val="000000"/>
          <w:sz w:val="31"/>
        </w:rPr>
        <w:t xml:space="preserve">第二十二条 </w:t>
      </w:r>
      <w:r>
        <w:rPr>
          <w:rFonts w:hint="eastAsia" w:ascii="仿宋_GB2312" w:hAnsi="仿宋_GB2312" w:eastAsia="仿宋_GB2312" w:cs="仿宋_GB2312"/>
          <w:snapToGrid w:val="0"/>
          <w:color w:val="000000"/>
          <w:sz w:val="32"/>
          <w:szCs w:val="32"/>
          <w:lang w:eastAsia="zh-CN"/>
        </w:rPr>
        <w:t>本办法自发布之日起施行，有效期五年。2019年制定的《伊春市农业产业化市级重点龙头企业认定和运行监测管理办法》（伊农局联发〔2019〕</w:t>
      </w:r>
      <w:r>
        <w:rPr>
          <w:rFonts w:hint="eastAsia" w:ascii="仿宋_GB2312" w:hAnsi="仿宋_GB2312" w:eastAsia="仿宋_GB2312" w:cs="仿宋_GB2312"/>
          <w:snapToGrid w:val="0"/>
          <w:color w:val="000000"/>
          <w:sz w:val="32"/>
          <w:szCs w:val="32"/>
          <w:lang w:val="en-US" w:eastAsia="zh-CN"/>
        </w:rPr>
        <w:t>12</w:t>
      </w:r>
      <w:r>
        <w:rPr>
          <w:rFonts w:hint="eastAsia" w:ascii="仿宋_GB2312" w:hAnsi="仿宋_GB2312" w:eastAsia="仿宋_GB2312" w:cs="仿宋_GB2312"/>
          <w:snapToGrid w:val="0"/>
          <w:color w:val="000000"/>
          <w:sz w:val="32"/>
          <w:szCs w:val="32"/>
          <w:lang w:eastAsia="zh-CN"/>
        </w:rPr>
        <w:t>号）同时废止。</w:t>
      </w:r>
    </w:p>
    <w:p>
      <w:pPr>
        <w:keepNext w:val="0"/>
        <w:keepLines w:val="0"/>
        <w:pageBreakBefore w:val="0"/>
        <w:kinsoku/>
        <w:topLinePunct w:val="0"/>
        <w:autoSpaceDE/>
        <w:bidi w:val="0"/>
        <w:adjustRightInd/>
        <w:snapToGrid/>
        <w:spacing w:line="580" w:lineRule="exact"/>
        <w:ind w:firstLine="640" w:firstLineChars="200"/>
        <w:textAlignment w:val="auto"/>
      </w:pPr>
    </w:p>
    <w:sectPr>
      <w:footerReference r:id="rId5" w:type="default"/>
      <w:pgSz w:w="11906" w:h="16838"/>
      <w:pgMar w:top="2098" w:right="1474" w:bottom="1984" w:left="1588" w:header="851" w:footer="992" w:gutter="0"/>
      <w:pgNumType w:fmt="decimal"/>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color w:val="000000" w:themeColor="text1"/>
                              <w:sz w:val="28"/>
                              <w:szCs w:val="28"/>
                              <w14:textFill>
                                <w14:solidFill>
                                  <w14:schemeClr w14:val="tx1"/>
                                </w14:solidFill>
                              </w14:textFill>
                            </w:rPr>
                            <w:fldChar w:fldCharType="begin"/>
                          </w:r>
                          <w:r>
                            <w:rPr>
                              <w:rFonts w:hint="eastAsia" w:ascii="方正黑体_GBK" w:hAnsi="方正黑体_GBK" w:eastAsia="方正黑体_GBK" w:cs="方正黑体_GBK"/>
                              <w:color w:val="000000" w:themeColor="text1"/>
                              <w:sz w:val="28"/>
                              <w:szCs w:val="28"/>
                              <w14:textFill>
                                <w14:solidFill>
                                  <w14:schemeClr w14:val="tx1"/>
                                </w14:solidFill>
                              </w14:textFill>
                            </w:rPr>
                            <w:instrText xml:space="preserve"> PAGE  \* MERGEFORMAT </w:instrText>
                          </w:r>
                          <w:r>
                            <w:rPr>
                              <w:rFonts w:hint="eastAsia" w:ascii="方正黑体_GBK" w:hAnsi="方正黑体_GBK" w:eastAsia="方正黑体_GBK" w:cs="方正黑体_GBK"/>
                              <w:color w:val="000000" w:themeColor="text1"/>
                              <w:sz w:val="28"/>
                              <w:szCs w:val="28"/>
                              <w14:textFill>
                                <w14:solidFill>
                                  <w14:schemeClr w14:val="tx1"/>
                                </w14:solidFill>
                              </w14:textFill>
                            </w:rPr>
                            <w:fldChar w:fldCharType="separate"/>
                          </w:r>
                          <w:r>
                            <w:rPr>
                              <w:rFonts w:hint="eastAsia" w:ascii="方正黑体_GBK" w:hAnsi="方正黑体_GBK" w:eastAsia="方正黑体_GBK" w:cs="方正黑体_GBK"/>
                              <w:color w:val="000000" w:themeColor="text1"/>
                              <w:sz w:val="28"/>
                              <w:szCs w:val="28"/>
                              <w14:textFill>
                                <w14:solidFill>
                                  <w14:schemeClr w14:val="tx1"/>
                                </w14:solidFill>
                              </w14:textFill>
                            </w:rPr>
                            <w:t>1</w:t>
                          </w:r>
                          <w:r>
                            <w:rPr>
                              <w:rFonts w:hint="eastAsia" w:ascii="方正黑体_GBK" w:hAnsi="方正黑体_GBK" w:eastAsia="方正黑体_GBK" w:cs="方正黑体_GBK"/>
                              <w:color w:val="000000" w:themeColor="text1"/>
                              <w:sz w:val="28"/>
                              <w:szCs w:val="28"/>
                              <w14:textFill>
                                <w14:solidFill>
                                  <w14:schemeClr w14:val="tx1"/>
                                </w14:solidFill>
                              </w14:textFill>
                            </w:rPr>
                            <w:fldChar w:fldCharType="end"/>
                          </w:r>
                          <w:r>
                            <w:rPr>
                              <w:rFonts w:hint="eastAsia" w:ascii="方正黑体_GBK" w:hAnsi="方正黑体_GBK" w:eastAsia="方正黑体_GBK" w:cs="方正黑体_GBK"/>
                              <w:color w:val="000000" w:themeColor="text1"/>
                              <w:sz w:val="28"/>
                              <w:szCs w:val="28"/>
                              <w14:textFill>
                                <w14:solidFill>
                                  <w14:schemeClr w14:val="tx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ind w:left="0" w:leftChars="0" w:firstLine="0" w:firstLineChars="0"/>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r>
                      <w:rPr>
                        <w:rFonts w:hint="eastAsia" w:ascii="方正黑体_GBK" w:hAnsi="方正黑体_GBK" w:eastAsia="方正黑体_GBK" w:cs="方正黑体_GBK"/>
                        <w:color w:val="000000" w:themeColor="text1"/>
                        <w:sz w:val="28"/>
                        <w:szCs w:val="28"/>
                        <w14:textFill>
                          <w14:solidFill>
                            <w14:schemeClr w14:val="tx1"/>
                          </w14:solidFill>
                        </w14:textFill>
                      </w:rPr>
                      <w:fldChar w:fldCharType="begin"/>
                    </w:r>
                    <w:r>
                      <w:rPr>
                        <w:rFonts w:hint="eastAsia" w:ascii="方正黑体_GBK" w:hAnsi="方正黑体_GBK" w:eastAsia="方正黑体_GBK" w:cs="方正黑体_GBK"/>
                        <w:color w:val="000000" w:themeColor="text1"/>
                        <w:sz w:val="28"/>
                        <w:szCs w:val="28"/>
                        <w14:textFill>
                          <w14:solidFill>
                            <w14:schemeClr w14:val="tx1"/>
                          </w14:solidFill>
                        </w14:textFill>
                      </w:rPr>
                      <w:instrText xml:space="preserve"> PAGE  \* MERGEFORMAT </w:instrText>
                    </w:r>
                    <w:r>
                      <w:rPr>
                        <w:rFonts w:hint="eastAsia" w:ascii="方正黑体_GBK" w:hAnsi="方正黑体_GBK" w:eastAsia="方正黑体_GBK" w:cs="方正黑体_GBK"/>
                        <w:color w:val="000000" w:themeColor="text1"/>
                        <w:sz w:val="28"/>
                        <w:szCs w:val="28"/>
                        <w14:textFill>
                          <w14:solidFill>
                            <w14:schemeClr w14:val="tx1"/>
                          </w14:solidFill>
                        </w14:textFill>
                      </w:rPr>
                      <w:fldChar w:fldCharType="separate"/>
                    </w:r>
                    <w:r>
                      <w:rPr>
                        <w:rFonts w:hint="eastAsia" w:ascii="方正黑体_GBK" w:hAnsi="方正黑体_GBK" w:eastAsia="方正黑体_GBK" w:cs="方正黑体_GBK"/>
                        <w:color w:val="000000" w:themeColor="text1"/>
                        <w:sz w:val="28"/>
                        <w:szCs w:val="28"/>
                        <w14:textFill>
                          <w14:solidFill>
                            <w14:schemeClr w14:val="tx1"/>
                          </w14:solidFill>
                        </w14:textFill>
                      </w:rPr>
                      <w:t>1</w:t>
                    </w:r>
                    <w:r>
                      <w:rPr>
                        <w:rFonts w:hint="eastAsia" w:ascii="方正黑体_GBK" w:hAnsi="方正黑体_GBK" w:eastAsia="方正黑体_GBK" w:cs="方正黑体_GBK"/>
                        <w:color w:val="000000" w:themeColor="text1"/>
                        <w:sz w:val="28"/>
                        <w:szCs w:val="28"/>
                        <w14:textFill>
                          <w14:solidFill>
                            <w14:schemeClr w14:val="tx1"/>
                          </w14:solidFill>
                        </w14:textFill>
                      </w:rPr>
                      <w:fldChar w:fldCharType="end"/>
                    </w:r>
                    <w:r>
                      <w:rPr>
                        <w:rFonts w:hint="eastAsia" w:ascii="方正黑体_GBK" w:hAnsi="方正黑体_GBK" w:eastAsia="方正黑体_GBK" w:cs="方正黑体_GBK"/>
                        <w:color w:val="000000" w:themeColor="text1"/>
                        <w:sz w:val="28"/>
                        <w:szCs w:val="28"/>
                        <w14:textFill>
                          <w14:solidFill>
                            <w14:schemeClr w14:val="tx1"/>
                          </w14:solidFill>
                        </w14:textFill>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jM5OWJmZTViZjYyZGY2OTMzODVlN2QyYTNhOWEifQ=="/>
  </w:docVars>
  <w:rsids>
    <w:rsidRoot w:val="002D5DBE"/>
    <w:rsid w:val="00157197"/>
    <w:rsid w:val="001F73B9"/>
    <w:rsid w:val="002D5DBE"/>
    <w:rsid w:val="00451065"/>
    <w:rsid w:val="004D1D71"/>
    <w:rsid w:val="00543196"/>
    <w:rsid w:val="005448FB"/>
    <w:rsid w:val="005F2E7A"/>
    <w:rsid w:val="006A2162"/>
    <w:rsid w:val="007820CE"/>
    <w:rsid w:val="008A12BC"/>
    <w:rsid w:val="008D7C9C"/>
    <w:rsid w:val="009F4F63"/>
    <w:rsid w:val="00A85F84"/>
    <w:rsid w:val="00A92515"/>
    <w:rsid w:val="00B54BD2"/>
    <w:rsid w:val="00CC5730"/>
    <w:rsid w:val="00D95631"/>
    <w:rsid w:val="00DA2E62"/>
    <w:rsid w:val="00E03D45"/>
    <w:rsid w:val="00E67342"/>
    <w:rsid w:val="0EBEF8AC"/>
    <w:rsid w:val="19FE38DF"/>
    <w:rsid w:val="27FEEB2E"/>
    <w:rsid w:val="2DFF0990"/>
    <w:rsid w:val="2EFB10AD"/>
    <w:rsid w:val="2FDB8628"/>
    <w:rsid w:val="37EFBA47"/>
    <w:rsid w:val="43BFB29B"/>
    <w:rsid w:val="466FE3A6"/>
    <w:rsid w:val="5AD3FD33"/>
    <w:rsid w:val="63BE9CAF"/>
    <w:rsid w:val="65BEAEF9"/>
    <w:rsid w:val="66DD6B3F"/>
    <w:rsid w:val="6BC42475"/>
    <w:rsid w:val="6CF760EA"/>
    <w:rsid w:val="76EF5F10"/>
    <w:rsid w:val="77FB017F"/>
    <w:rsid w:val="7CCFC2E5"/>
    <w:rsid w:val="7FEF90B5"/>
    <w:rsid w:val="AF9F0920"/>
    <w:rsid w:val="B0D7D0CA"/>
    <w:rsid w:val="BA7B23C6"/>
    <w:rsid w:val="BEC79763"/>
    <w:rsid w:val="BFBE31A1"/>
    <w:rsid w:val="D9BE64C1"/>
    <w:rsid w:val="DCFEBA63"/>
    <w:rsid w:val="DDFF0FBE"/>
    <w:rsid w:val="ECF69767"/>
    <w:rsid w:val="F7B50C4B"/>
    <w:rsid w:val="FACF85D8"/>
    <w:rsid w:val="FBA6DF66"/>
    <w:rsid w:val="FF3FC1AD"/>
    <w:rsid w:val="FFF3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539"/>
      <w:jc w:val="both"/>
    </w:pPr>
    <w:rPr>
      <w:rFonts w:ascii="仿宋" w:hAnsi="仿宋" w:eastAsia="仿宋" w:cstheme="minorBidi"/>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widowControl w:val="0"/>
      <w:spacing w:line="240" w:lineRule="auto"/>
      <w:ind w:firstLine="0"/>
    </w:pPr>
    <w:rPr>
      <w:rFonts w:cs="仿宋"/>
      <w:lang w:val="zh-CN"/>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Char"/>
    <w:basedOn w:val="7"/>
    <w:link w:val="2"/>
    <w:qFormat/>
    <w:uiPriority w:val="99"/>
    <w:rPr>
      <w:rFonts w:cs="仿宋"/>
      <w:lang w:val="zh-CN"/>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88</Words>
  <Characters>507</Characters>
  <Lines>4</Lines>
  <Paragraphs>1</Paragraphs>
  <TotalTime>130</TotalTime>
  <ScaleCrop>false</ScaleCrop>
  <LinksUpToDate>false</LinksUpToDate>
  <CharactersWithSpaces>594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2021-08-29T06:59:00Z</dcterms:created>
  <dc:creator>王斯佳</dc:creator>
  <cp:lastModifiedBy>天空</cp:lastModifiedBy>
  <cp:lastPrinted>2021-11-11T01:28:00Z</cp:lastPrinted>
  <dcterms:modified xsi:type="dcterms:W3CDTF">2025-11-10T02:41:47Z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AE717F9585B44AB5B483F142837FC6D1_12</vt:lpwstr>
  </property>
</Properties>
</file>